
<file path=[Content_Types].xml><?xml version="1.0" encoding="utf-8"?>
<Types xmlns="http://schemas.openxmlformats.org/package/2006/content-types">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2C30CF" w14:textId="77777777" w:rsidR="00182B31" w:rsidRDefault="00182B31" w:rsidP="00182B31">
      <w:pPr>
        <w:adjustRightInd w:val="0"/>
        <w:snapToGrid w:val="0"/>
        <w:spacing w:beforeLines="100" w:before="240"/>
        <w:ind w:firstLineChars="200" w:firstLine="720"/>
        <w:jc w:val="center"/>
        <w:rPr>
          <w:rFonts w:ascii="楷体" w:eastAsia="楷体" w:hAnsi="楷体"/>
          <w:sz w:val="24"/>
          <w:szCs w:val="24"/>
        </w:rPr>
      </w:pPr>
      <w:r>
        <w:rPr>
          <w:rStyle w:val="10"/>
          <w:rFonts w:ascii="方正小标宋简体" w:eastAsia="方正小标宋简体" w:hAnsi="方正小标宋简体" w:cs="方正小标宋简体" w:hint="eastAsia"/>
          <w:sz w:val="36"/>
          <w:szCs w:val="36"/>
        </w:rPr>
        <w:t>中文题目</w:t>
      </w:r>
      <w:r>
        <w:rPr>
          <w:rFonts w:ascii="楷体" w:eastAsia="楷体" w:hAnsi="楷体" w:hint="eastAsia"/>
          <w:color w:val="FF0000"/>
          <w:sz w:val="24"/>
          <w:szCs w:val="24"/>
        </w:rPr>
        <w:t>（简洁准确，一般不宜超过20字）</w:t>
      </w:r>
    </w:p>
    <w:p w14:paraId="4F59394F" w14:textId="77777777" w:rsidR="00182B31" w:rsidRDefault="00182B31" w:rsidP="00182B31">
      <w:pPr>
        <w:adjustRightInd w:val="0"/>
        <w:snapToGrid w:val="0"/>
        <w:ind w:firstLineChars="200" w:firstLine="480"/>
        <w:jc w:val="center"/>
        <w:rPr>
          <w:rFonts w:ascii="楷体" w:eastAsia="楷体" w:hAnsi="楷体"/>
          <w:sz w:val="24"/>
          <w:szCs w:val="24"/>
        </w:rPr>
      </w:pPr>
      <w:r>
        <w:rPr>
          <w:rFonts w:ascii="楷体" w:eastAsia="楷体" w:hAnsi="楷体" w:hint="eastAsia"/>
          <w:sz w:val="24"/>
          <w:szCs w:val="24"/>
        </w:rPr>
        <w:t>作者一</w:t>
      </w:r>
      <w:proofErr w:type="gramStart"/>
      <w:r>
        <w:rPr>
          <w:rFonts w:ascii="楷体" w:eastAsia="楷体" w:hAnsi="楷体" w:hint="eastAsia"/>
          <w:sz w:val="24"/>
          <w:szCs w:val="24"/>
          <w:vertAlign w:val="superscript"/>
        </w:rPr>
        <w:t>1</w:t>
      </w:r>
      <w:proofErr w:type="gramEnd"/>
      <w:r>
        <w:rPr>
          <w:rFonts w:ascii="楷体" w:eastAsia="楷体" w:hAnsi="楷体" w:hint="eastAsia"/>
          <w:sz w:val="24"/>
          <w:szCs w:val="24"/>
        </w:rPr>
        <w:t>，作者二</w:t>
      </w:r>
      <w:proofErr w:type="gramStart"/>
      <w:r>
        <w:rPr>
          <w:rFonts w:ascii="楷体" w:eastAsia="楷体" w:hAnsi="楷体" w:hint="eastAsia"/>
          <w:sz w:val="24"/>
          <w:szCs w:val="24"/>
          <w:vertAlign w:val="superscript"/>
        </w:rPr>
        <w:t>1</w:t>
      </w:r>
      <w:proofErr w:type="gramEnd"/>
      <w:r>
        <w:rPr>
          <w:rFonts w:ascii="楷体" w:eastAsia="楷体" w:hAnsi="楷体" w:hint="eastAsia"/>
          <w:sz w:val="24"/>
          <w:szCs w:val="24"/>
          <w:vertAlign w:val="superscript"/>
        </w:rPr>
        <w:t>,2,</w:t>
      </w:r>
      <w:r>
        <w:rPr>
          <w:rFonts w:ascii="楷体" w:eastAsia="楷体" w:hAnsi="楷体" w:hint="eastAsia"/>
          <w:sz w:val="24"/>
          <w:szCs w:val="24"/>
        </w:rPr>
        <w:t>…，…一般不宜超过5个</w:t>
      </w:r>
    </w:p>
    <w:p w14:paraId="2CF869D0" w14:textId="77777777" w:rsidR="00182B31" w:rsidRDefault="00182B31" w:rsidP="00182B31">
      <w:pPr>
        <w:adjustRightInd w:val="0"/>
        <w:snapToGrid w:val="0"/>
        <w:ind w:firstLineChars="200" w:firstLine="360"/>
        <w:rPr>
          <w:rFonts w:ascii="仿宋_GB2312" w:eastAsia="仿宋_GB2312" w:hAnsi="仿宋_GB2312" w:cs="仿宋_GB2312"/>
          <w:color w:val="FF0000"/>
          <w:sz w:val="24"/>
          <w:szCs w:val="24"/>
        </w:rPr>
      </w:pPr>
      <w:r>
        <w:rPr>
          <w:rFonts w:ascii="宋体" w:hAnsi="宋体" w:cs="宋体" w:hint="eastAsia"/>
          <w:sz w:val="18"/>
          <w:szCs w:val="18"/>
        </w:rPr>
        <w:t xml:space="preserve"> </w:t>
      </w:r>
      <w:r>
        <w:rPr>
          <w:rFonts w:ascii="华文楷体" w:eastAsia="华文楷体" w:hAnsi="华文楷体" w:cs="华文楷体" w:hint="eastAsia"/>
          <w:sz w:val="18"/>
          <w:szCs w:val="18"/>
        </w:rPr>
        <w:t xml:space="preserve"> </w:t>
      </w:r>
      <w:r>
        <w:rPr>
          <w:rFonts w:ascii="华文楷体" w:eastAsia="华文楷体" w:hAnsi="华文楷体" w:cs="华文楷体" w:hint="eastAsia"/>
          <w:sz w:val="24"/>
          <w:szCs w:val="24"/>
        </w:rPr>
        <w:t>（1.上标为1的作者的工作单位，所在省 市 邮编；2.上标为2的作者的工作单位，所在省 市 邮编)</w:t>
      </w:r>
      <w:r>
        <w:rPr>
          <w:rFonts w:ascii="华文楷体" w:eastAsia="华文楷体" w:hAnsi="华文楷体" w:cs="华文楷体" w:hint="eastAsia"/>
          <w:color w:val="FF0000"/>
          <w:sz w:val="24"/>
          <w:szCs w:val="24"/>
        </w:rPr>
        <w:t>（作者单位应使用全称；单位是高校的，还应写出二级学院名称；单位为设计院、研究所的，视实际情况而定。）</w:t>
      </w:r>
    </w:p>
    <w:p w14:paraId="5100096F" w14:textId="77777777" w:rsidR="00182B31" w:rsidRDefault="00182B31" w:rsidP="00182B31">
      <w:pPr>
        <w:adjustRightInd w:val="0"/>
        <w:snapToGrid w:val="0"/>
        <w:rPr>
          <w:rFonts w:ascii="楷体" w:eastAsia="楷体" w:hAnsi="楷体"/>
          <w:sz w:val="24"/>
          <w:szCs w:val="24"/>
        </w:rPr>
      </w:pPr>
    </w:p>
    <w:p w14:paraId="0976BBFF" w14:textId="77777777" w:rsidR="00182B31" w:rsidRDefault="00182B31" w:rsidP="00182B31">
      <w:pPr>
        <w:adjustRightInd w:val="0"/>
        <w:snapToGrid w:val="0"/>
        <w:ind w:firstLineChars="200" w:firstLine="482"/>
        <w:rPr>
          <w:rFonts w:ascii="楷体" w:eastAsia="楷体" w:hAnsi="楷体"/>
          <w:sz w:val="24"/>
          <w:szCs w:val="24"/>
        </w:rPr>
      </w:pPr>
      <w:r>
        <w:rPr>
          <w:rFonts w:ascii="黑体" w:eastAsia="黑体" w:hAnsi="黑体" w:cs="黑体" w:hint="eastAsia"/>
          <w:b/>
          <w:bCs/>
          <w:sz w:val="24"/>
          <w:szCs w:val="24"/>
        </w:rPr>
        <w:t>摘 要：</w:t>
      </w:r>
      <w:r>
        <w:rPr>
          <w:rFonts w:ascii="黑体" w:eastAsia="黑体" w:hAnsi="黑体" w:cs="黑体" w:hint="eastAsia"/>
          <w:color w:val="FF0000"/>
          <w:sz w:val="24"/>
          <w:szCs w:val="24"/>
        </w:rPr>
        <w:t>《火箭军工程大学学报》</w:t>
      </w:r>
      <w:r>
        <w:rPr>
          <w:rFonts w:ascii="楷体" w:eastAsia="楷体" w:hAnsi="楷体" w:hint="eastAsia"/>
          <w:sz w:val="24"/>
          <w:szCs w:val="24"/>
        </w:rPr>
        <w:t>对稿件摘要有严格要求。摘要应按照摘要四要素（目的、方法、结果、结论）依次撰写，直接切入主题（请勿论及论文研究的基础和背景知识，请勿进行自我评价），字数</w:t>
      </w:r>
      <w:r>
        <w:rPr>
          <w:rFonts w:ascii="楷体" w:eastAsia="楷体" w:hAnsi="楷体" w:hint="eastAsia"/>
          <w:color w:val="FF6600"/>
          <w:sz w:val="24"/>
          <w:szCs w:val="24"/>
        </w:rPr>
        <w:t>4</w:t>
      </w:r>
      <w:r>
        <w:rPr>
          <w:rFonts w:ascii="楷体" w:eastAsia="楷体" w:hAnsi="楷体" w:hint="eastAsia"/>
          <w:color w:val="FF0000"/>
          <w:sz w:val="24"/>
          <w:szCs w:val="24"/>
        </w:rPr>
        <w:t>00字左右，方法和结果部分尤其要具体说明。</w:t>
      </w:r>
      <w:proofErr w:type="gramStart"/>
      <w:r>
        <w:rPr>
          <w:rFonts w:ascii="楷体" w:eastAsia="楷体" w:hAnsi="楷体" w:hint="eastAsia"/>
          <w:sz w:val="24"/>
          <w:szCs w:val="24"/>
        </w:rPr>
        <w:t>须体现</w:t>
      </w:r>
      <w:proofErr w:type="gramEnd"/>
      <w:r>
        <w:rPr>
          <w:rFonts w:ascii="楷体" w:eastAsia="楷体" w:hAnsi="楷体" w:hint="eastAsia"/>
          <w:sz w:val="24"/>
          <w:szCs w:val="24"/>
        </w:rPr>
        <w:t>研究方法的核心内容，即创新性。研究结果必须详细具体，体现计算具体数值或某种变化趋势，并且要得出具有创新性的结论。</w:t>
      </w:r>
    </w:p>
    <w:p w14:paraId="2B16E2DB" w14:textId="77777777" w:rsidR="00182B31" w:rsidRDefault="00182B31" w:rsidP="00182B31">
      <w:pPr>
        <w:adjustRightInd w:val="0"/>
        <w:snapToGrid w:val="0"/>
        <w:ind w:firstLineChars="200" w:firstLine="482"/>
        <w:rPr>
          <w:rFonts w:ascii="楷体" w:eastAsia="楷体" w:hAnsi="楷体"/>
          <w:sz w:val="24"/>
          <w:szCs w:val="24"/>
        </w:rPr>
      </w:pPr>
      <w:r>
        <w:rPr>
          <w:rFonts w:ascii="黑体" w:eastAsia="黑体" w:hAnsi="黑体" w:cs="黑体" w:hint="eastAsia"/>
          <w:b/>
          <w:bCs/>
          <w:sz w:val="24"/>
          <w:szCs w:val="24"/>
        </w:rPr>
        <w:t>关键词：</w:t>
      </w:r>
      <w:r>
        <w:rPr>
          <w:rFonts w:ascii="楷体" w:eastAsia="楷体" w:hAnsi="楷体" w:hint="eastAsia"/>
          <w:sz w:val="24"/>
          <w:szCs w:val="24"/>
        </w:rPr>
        <w:t>关键词1；关键词2；关键词3；关键词4；……</w:t>
      </w:r>
    </w:p>
    <w:p w14:paraId="2809AE65" w14:textId="77777777" w:rsidR="00182B31" w:rsidRDefault="00182B31" w:rsidP="00182B31">
      <w:pPr>
        <w:adjustRightInd w:val="0"/>
        <w:snapToGrid w:val="0"/>
        <w:ind w:firstLineChars="200" w:firstLine="480"/>
        <w:rPr>
          <w:rFonts w:ascii="楷体" w:eastAsia="楷体" w:hAnsi="楷体"/>
          <w:color w:val="FF0000"/>
          <w:sz w:val="24"/>
          <w:szCs w:val="24"/>
        </w:rPr>
      </w:pPr>
      <w:r>
        <w:rPr>
          <w:rFonts w:ascii="楷体" w:eastAsia="楷体" w:hAnsi="楷体" w:hint="eastAsia"/>
          <w:color w:val="FF0000"/>
          <w:sz w:val="24"/>
          <w:szCs w:val="24"/>
        </w:rPr>
        <w:t>（关键词一般为5</w:t>
      </w:r>
      <w:r>
        <w:rPr>
          <w:rFonts w:ascii="华文仿宋" w:eastAsia="华文仿宋" w:hAnsi="华文仿宋" w:cs="华文仿宋" w:hint="eastAsia"/>
          <w:color w:val="FF0000"/>
          <w:sz w:val="24"/>
          <w:szCs w:val="24"/>
        </w:rPr>
        <w:t>~</w:t>
      </w:r>
      <w:r>
        <w:rPr>
          <w:rFonts w:ascii="楷体" w:eastAsia="楷体" w:hAnsi="楷体" w:hint="eastAsia"/>
          <w:color w:val="FF0000"/>
          <w:sz w:val="24"/>
          <w:szCs w:val="24"/>
        </w:rPr>
        <w:t>8个，第1个关键词为该文所属相应栏目名称（一级或二级学科名称），第2个关键词为该文研究成果名称，第3个关键词为得到该文研究成果所采用的方法名称，第4个关键词为作为该文主要研究对象的事物名称，第5个及以后的关键词为作者认为有利于文献检索的其他名词。）</w:t>
      </w:r>
    </w:p>
    <w:p w14:paraId="1674336F" w14:textId="77777777" w:rsidR="00182B31" w:rsidRDefault="00182B31" w:rsidP="00182B31">
      <w:pPr>
        <w:adjustRightInd w:val="0"/>
        <w:snapToGrid w:val="0"/>
        <w:ind w:firstLineChars="200" w:firstLine="482"/>
        <w:rPr>
          <w:rFonts w:ascii="楷体" w:eastAsia="楷体" w:hAnsi="楷体"/>
          <w:sz w:val="24"/>
          <w:szCs w:val="24"/>
        </w:rPr>
      </w:pPr>
      <w:r>
        <w:rPr>
          <w:rFonts w:ascii="黑体" w:eastAsia="黑体" w:hAnsi="黑体" w:cs="黑体" w:hint="eastAsia"/>
          <w:b/>
          <w:bCs/>
          <w:sz w:val="24"/>
          <w:szCs w:val="24"/>
        </w:rPr>
        <w:t>中图分类号：</w:t>
      </w:r>
      <w:r>
        <w:rPr>
          <w:rFonts w:ascii="楷体" w:eastAsia="楷体" w:hAnsi="楷体" w:hint="eastAsia"/>
          <w:color w:val="FF0000"/>
          <w:sz w:val="24"/>
          <w:szCs w:val="24"/>
        </w:rPr>
        <w:t xml:space="preserve">(请在中国图书馆分类法中查找)   </w:t>
      </w:r>
      <w:r>
        <w:rPr>
          <w:rFonts w:ascii="楷体" w:eastAsia="楷体" w:hAnsi="楷体" w:hint="eastAsia"/>
          <w:sz w:val="24"/>
          <w:szCs w:val="24"/>
        </w:rPr>
        <w:t xml:space="preserve">     </w:t>
      </w:r>
      <w:r>
        <w:rPr>
          <w:rFonts w:ascii="黑体" w:eastAsia="黑体" w:hAnsi="黑体" w:cs="黑体" w:hint="eastAsia"/>
          <w:b/>
          <w:bCs/>
          <w:sz w:val="24"/>
          <w:szCs w:val="24"/>
        </w:rPr>
        <w:t>文献标志码：</w:t>
      </w:r>
      <w:r>
        <w:rPr>
          <w:rFonts w:ascii="楷体" w:eastAsia="楷体" w:hAnsi="楷体" w:hint="eastAsia"/>
          <w:sz w:val="24"/>
          <w:szCs w:val="24"/>
        </w:rPr>
        <w:t>A</w:t>
      </w:r>
    </w:p>
    <w:p w14:paraId="02E5DB88" w14:textId="77777777" w:rsidR="00182B31" w:rsidRDefault="00182B31" w:rsidP="00182B31">
      <w:pPr>
        <w:adjustRightInd w:val="0"/>
        <w:snapToGrid w:val="0"/>
        <w:spacing w:beforeLines="100" w:before="240"/>
        <w:ind w:firstLineChars="200" w:firstLine="720"/>
        <w:jc w:val="center"/>
        <w:rPr>
          <w:rFonts w:ascii="楷体" w:eastAsia="楷体" w:hAnsi="楷体"/>
          <w:sz w:val="24"/>
          <w:szCs w:val="24"/>
        </w:rPr>
      </w:pPr>
      <w:r>
        <w:rPr>
          <w:rStyle w:val="10"/>
          <w:rFonts w:ascii="方正小标宋简体" w:eastAsia="方正小标宋简体" w:hAnsi="方正小标宋简体" w:cs="方正小标宋简体" w:hint="eastAsia"/>
          <w:sz w:val="36"/>
          <w:szCs w:val="36"/>
        </w:rPr>
        <w:t>English title</w:t>
      </w:r>
      <w:r>
        <w:rPr>
          <w:rFonts w:ascii="楷体" w:eastAsia="楷体" w:hAnsi="楷体" w:hint="eastAsia"/>
          <w:color w:val="FF0000"/>
          <w:sz w:val="24"/>
          <w:szCs w:val="24"/>
        </w:rPr>
        <w:t>（每个实词首字母大写）</w:t>
      </w:r>
    </w:p>
    <w:p w14:paraId="47239858" w14:textId="77777777" w:rsidR="00182B31" w:rsidRDefault="00182B31" w:rsidP="00182B31">
      <w:pPr>
        <w:adjustRightInd w:val="0"/>
        <w:snapToGrid w:val="0"/>
        <w:ind w:firstLineChars="200" w:firstLine="480"/>
        <w:jc w:val="center"/>
        <w:rPr>
          <w:rFonts w:ascii="Arial" w:eastAsia="楷体" w:hAnsi="Arial" w:cs="Arial"/>
          <w:sz w:val="24"/>
          <w:szCs w:val="24"/>
        </w:rPr>
      </w:pPr>
      <w:r>
        <w:rPr>
          <w:rFonts w:ascii="Arial" w:eastAsia="楷体" w:hAnsi="Arial" w:cs="Arial"/>
          <w:sz w:val="24"/>
          <w:szCs w:val="24"/>
        </w:rPr>
        <w:t>The first author</w:t>
      </w:r>
      <w:proofErr w:type="gramStart"/>
      <w:r w:rsidR="000D028E">
        <w:rPr>
          <w:rFonts w:ascii="Arial" w:eastAsia="楷体" w:hAnsi="Arial" w:cs="Arial"/>
          <w:sz w:val="24"/>
          <w:szCs w:val="24"/>
        </w:rPr>
        <w:t>’</w:t>
      </w:r>
      <w:proofErr w:type="gramEnd"/>
      <w:r>
        <w:rPr>
          <w:rFonts w:ascii="Arial" w:eastAsia="楷体" w:hAnsi="Arial" w:cs="Arial"/>
          <w:sz w:val="24"/>
          <w:szCs w:val="24"/>
        </w:rPr>
        <w:t>s name</w:t>
      </w:r>
      <w:r>
        <w:rPr>
          <w:rFonts w:ascii="Arial" w:eastAsia="楷体" w:hAnsi="Arial" w:cs="Arial"/>
          <w:sz w:val="24"/>
          <w:szCs w:val="24"/>
          <w:vertAlign w:val="superscript"/>
        </w:rPr>
        <w:t>1</w:t>
      </w:r>
      <w:r>
        <w:rPr>
          <w:rFonts w:ascii="Arial" w:eastAsia="楷体" w:hAnsi="Arial" w:cs="Arial"/>
          <w:sz w:val="24"/>
          <w:szCs w:val="24"/>
        </w:rPr>
        <w:t>，</w:t>
      </w:r>
      <w:r>
        <w:rPr>
          <w:rFonts w:ascii="Arial" w:eastAsia="楷体" w:hAnsi="Arial" w:cs="Arial"/>
          <w:sz w:val="24"/>
          <w:szCs w:val="24"/>
        </w:rPr>
        <w:t>The second author</w:t>
      </w:r>
      <w:proofErr w:type="gramStart"/>
      <w:r>
        <w:rPr>
          <w:rFonts w:ascii="Arial" w:eastAsia="楷体" w:hAnsi="Arial" w:cs="Arial"/>
          <w:sz w:val="24"/>
          <w:szCs w:val="24"/>
        </w:rPr>
        <w:t>’</w:t>
      </w:r>
      <w:proofErr w:type="gramEnd"/>
      <w:r>
        <w:rPr>
          <w:rFonts w:ascii="Arial" w:eastAsia="楷体" w:hAnsi="Arial" w:cs="Arial"/>
          <w:sz w:val="24"/>
          <w:szCs w:val="24"/>
        </w:rPr>
        <w:t>s name</w:t>
      </w:r>
      <w:r>
        <w:rPr>
          <w:rFonts w:ascii="Arial" w:eastAsia="楷体" w:hAnsi="Arial" w:cs="Arial"/>
          <w:sz w:val="24"/>
          <w:szCs w:val="24"/>
          <w:vertAlign w:val="superscript"/>
        </w:rPr>
        <w:t>1,2,</w:t>
      </w:r>
      <w:r>
        <w:rPr>
          <w:rFonts w:ascii="Arial" w:eastAsia="楷体" w:hAnsi="Arial" w:cs="Arial"/>
          <w:sz w:val="24"/>
          <w:szCs w:val="24"/>
        </w:rPr>
        <w:t>…</w:t>
      </w:r>
      <w:r>
        <w:rPr>
          <w:rFonts w:ascii="Arial" w:eastAsia="楷体" w:hAnsi="Arial" w:cs="Arial"/>
          <w:sz w:val="24"/>
          <w:szCs w:val="24"/>
        </w:rPr>
        <w:t>，</w:t>
      </w:r>
      <w:r>
        <w:rPr>
          <w:rFonts w:ascii="Arial" w:eastAsia="楷体" w:hAnsi="Arial" w:cs="Arial"/>
          <w:sz w:val="24"/>
          <w:szCs w:val="24"/>
        </w:rPr>
        <w:t>…</w:t>
      </w:r>
    </w:p>
    <w:p w14:paraId="3B983AB1" w14:textId="77777777" w:rsidR="00182B31" w:rsidRDefault="00182B31" w:rsidP="00182B31">
      <w:pPr>
        <w:adjustRightInd w:val="0"/>
        <w:snapToGrid w:val="0"/>
        <w:ind w:firstLineChars="200" w:firstLine="480"/>
        <w:rPr>
          <w:rFonts w:ascii="华文楷体" w:eastAsia="华文楷体" w:hAnsi="华文楷体" w:cs="华文楷体"/>
          <w:color w:val="FF0000"/>
          <w:sz w:val="24"/>
          <w:szCs w:val="24"/>
        </w:rPr>
      </w:pPr>
      <w:r>
        <w:rPr>
          <w:rFonts w:ascii="华文楷体" w:eastAsia="华文楷体" w:hAnsi="华文楷体" w:cs="华文楷体" w:hint="eastAsia"/>
          <w:color w:val="FF0000"/>
          <w:sz w:val="24"/>
          <w:szCs w:val="24"/>
        </w:rPr>
        <w:t>（英文姓名中姓全大写，名字首字母大写，多位作者顺序应与中文顺序保持一致）</w:t>
      </w:r>
    </w:p>
    <w:p w14:paraId="5A107729" w14:textId="77777777" w:rsidR="00182B31" w:rsidRDefault="00182B31" w:rsidP="00182B31">
      <w:pPr>
        <w:adjustRightInd w:val="0"/>
        <w:snapToGrid w:val="0"/>
        <w:ind w:firstLineChars="200" w:firstLine="480"/>
        <w:jc w:val="center"/>
        <w:rPr>
          <w:rFonts w:ascii="Arial" w:eastAsia="楷体" w:hAnsi="Arial" w:cs="Arial"/>
          <w:sz w:val="24"/>
          <w:szCs w:val="24"/>
        </w:rPr>
      </w:pPr>
      <w:r>
        <w:rPr>
          <w:rFonts w:ascii="Arial" w:eastAsia="楷体" w:hAnsi="Arial" w:cs="Arial"/>
          <w:sz w:val="24"/>
          <w:szCs w:val="24"/>
        </w:rPr>
        <w:t>(Affiliated Institutions of Authors, Address Information)</w:t>
      </w:r>
    </w:p>
    <w:p w14:paraId="44B83816" w14:textId="77777777" w:rsidR="00182B31" w:rsidRDefault="00182B31" w:rsidP="00182B31">
      <w:pPr>
        <w:adjustRightInd w:val="0"/>
        <w:snapToGrid w:val="0"/>
        <w:ind w:firstLineChars="200" w:firstLine="480"/>
        <w:jc w:val="center"/>
        <w:rPr>
          <w:rFonts w:ascii="华文楷体" w:eastAsia="华文楷体" w:hAnsi="华文楷体" w:cs="华文楷体"/>
          <w:color w:val="FF0000"/>
          <w:sz w:val="24"/>
          <w:szCs w:val="24"/>
        </w:rPr>
      </w:pPr>
      <w:r>
        <w:rPr>
          <w:rFonts w:ascii="华文楷体" w:eastAsia="华文楷体" w:hAnsi="华文楷体" w:cs="华文楷体" w:hint="eastAsia"/>
          <w:color w:val="FF0000"/>
          <w:sz w:val="24"/>
          <w:szCs w:val="24"/>
        </w:rPr>
        <w:t>（作者单位英文表述要求与中文表述相互对应）</w:t>
      </w:r>
    </w:p>
    <w:p w14:paraId="6A4C75D0" w14:textId="77777777" w:rsidR="00182B31" w:rsidRDefault="00182B31" w:rsidP="00182B31">
      <w:pPr>
        <w:adjustRightInd w:val="0"/>
        <w:snapToGrid w:val="0"/>
        <w:ind w:firstLineChars="200" w:firstLine="480"/>
        <w:rPr>
          <w:rFonts w:ascii="楷体" w:eastAsia="楷体" w:hAnsi="楷体"/>
          <w:sz w:val="24"/>
          <w:szCs w:val="24"/>
        </w:rPr>
      </w:pPr>
    </w:p>
    <w:p w14:paraId="125093E4" w14:textId="77777777" w:rsidR="00182B31" w:rsidRDefault="00182B31" w:rsidP="00182B31">
      <w:pPr>
        <w:adjustRightInd w:val="0"/>
        <w:snapToGrid w:val="0"/>
        <w:ind w:firstLineChars="200" w:firstLine="482"/>
        <w:rPr>
          <w:rFonts w:ascii="楷体" w:eastAsia="楷体" w:hAnsi="楷体"/>
          <w:color w:val="FF0000"/>
          <w:sz w:val="24"/>
          <w:szCs w:val="24"/>
        </w:rPr>
      </w:pPr>
      <w:r>
        <w:rPr>
          <w:rFonts w:ascii="黑体" w:eastAsia="黑体" w:hAnsi="黑体" w:cs="黑体" w:hint="eastAsia"/>
          <w:b/>
          <w:bCs/>
          <w:sz w:val="24"/>
          <w:szCs w:val="24"/>
        </w:rPr>
        <w:t>Abstract:</w:t>
      </w:r>
      <w:r>
        <w:rPr>
          <w:rFonts w:ascii="Arial" w:eastAsia="楷体" w:hAnsi="Arial" w:cs="Arial"/>
          <w:sz w:val="24"/>
          <w:szCs w:val="24"/>
        </w:rPr>
        <w:t xml:space="preserve"> Content of abstract ……</w:t>
      </w:r>
      <w:r>
        <w:rPr>
          <w:rFonts w:ascii="楷体" w:eastAsia="楷体" w:hAnsi="楷体" w:hint="eastAsia"/>
          <w:color w:val="FF0000"/>
          <w:sz w:val="24"/>
          <w:szCs w:val="24"/>
        </w:rPr>
        <w:t>（英文摘要必须与中文摘要严格对应，专业词汇必须准确，题目、摘要、关键词、图名、表名中的有关术语应使用相同的表述，不要使用近义词代替；尽量用短句子，用过去时态叙述所做的工作，用现在时态叙述得出的结论；避免使用一长串形容词或名词来修饰名词；对于缩写词，应在第一次出现时给出全称。）</w:t>
      </w:r>
    </w:p>
    <w:p w14:paraId="384657D0" w14:textId="77777777" w:rsidR="00182B31" w:rsidRDefault="00182B31" w:rsidP="00182B31">
      <w:pPr>
        <w:adjustRightInd w:val="0"/>
        <w:snapToGrid w:val="0"/>
        <w:ind w:firstLineChars="200" w:firstLine="482"/>
        <w:rPr>
          <w:rFonts w:ascii="Arial" w:eastAsia="楷体" w:hAnsi="Arial" w:cs="Arial"/>
          <w:sz w:val="24"/>
          <w:szCs w:val="24"/>
        </w:rPr>
      </w:pPr>
      <w:r>
        <w:rPr>
          <w:rFonts w:ascii="黑体" w:eastAsia="黑体" w:hAnsi="黑体" w:cs="黑体" w:hint="eastAsia"/>
          <w:b/>
          <w:bCs/>
          <w:sz w:val="24"/>
          <w:szCs w:val="24"/>
        </w:rPr>
        <w:t>Key words</w:t>
      </w:r>
      <w:r>
        <w:rPr>
          <w:rFonts w:ascii="楷体" w:eastAsia="楷体" w:hAnsi="楷体" w:hint="eastAsia"/>
          <w:sz w:val="24"/>
          <w:szCs w:val="24"/>
        </w:rPr>
        <w:t>：</w:t>
      </w:r>
      <w:r>
        <w:rPr>
          <w:rFonts w:ascii="Arial" w:eastAsia="楷体" w:hAnsi="Arial" w:cs="Arial" w:hint="eastAsia"/>
          <w:sz w:val="24"/>
          <w:szCs w:val="24"/>
        </w:rPr>
        <w:t xml:space="preserve">keyword 1; keyword 2; keyword 3; keyword 4; </w:t>
      </w:r>
      <w:r>
        <w:rPr>
          <w:rFonts w:ascii="Arial" w:eastAsia="楷体" w:hAnsi="Arial" w:cs="Arial" w:hint="eastAsia"/>
          <w:sz w:val="24"/>
          <w:szCs w:val="24"/>
        </w:rPr>
        <w:t>……</w:t>
      </w:r>
    </w:p>
    <w:p w14:paraId="7DA39310" w14:textId="77777777" w:rsidR="00182B31" w:rsidRDefault="00182B31" w:rsidP="00182B31">
      <w:pPr>
        <w:adjustRightInd w:val="0"/>
        <w:snapToGrid w:val="0"/>
        <w:ind w:firstLineChars="200" w:firstLine="482"/>
        <w:rPr>
          <w:rFonts w:ascii="楷体" w:eastAsia="楷体" w:hAnsi="楷体"/>
          <w:sz w:val="24"/>
          <w:szCs w:val="24"/>
        </w:rPr>
      </w:pPr>
      <w:r>
        <w:rPr>
          <w:rFonts w:ascii="黑体" w:eastAsia="黑体" w:hAnsi="黑体" w:cs="黑体" w:hint="eastAsia"/>
          <w:b/>
          <w:bCs/>
          <w:sz w:val="24"/>
          <w:szCs w:val="24"/>
        </w:rPr>
        <w:t>基金项目：</w:t>
      </w:r>
      <w:r>
        <w:rPr>
          <w:rFonts w:ascii="楷体" w:eastAsia="楷体" w:hAnsi="楷体" w:hint="eastAsia"/>
          <w:sz w:val="24"/>
          <w:szCs w:val="24"/>
        </w:rPr>
        <w:t>基金项目类别、名称（</w:t>
      </w:r>
      <w:proofErr w:type="gramStart"/>
      <w:r>
        <w:rPr>
          <w:rFonts w:ascii="楷体" w:eastAsia="楷体" w:hAnsi="楷体" w:hint="eastAsia"/>
          <w:sz w:val="24"/>
          <w:szCs w:val="24"/>
        </w:rPr>
        <w:t>附项目</w:t>
      </w:r>
      <w:proofErr w:type="gramEnd"/>
      <w:r>
        <w:rPr>
          <w:rFonts w:ascii="楷体" w:eastAsia="楷体" w:hAnsi="楷体" w:hint="eastAsia"/>
          <w:sz w:val="24"/>
          <w:szCs w:val="24"/>
        </w:rPr>
        <w:t>编号）……</w:t>
      </w:r>
    </w:p>
    <w:p w14:paraId="074DB81D" w14:textId="77777777" w:rsidR="00182B31" w:rsidRDefault="00182B31" w:rsidP="00182B31">
      <w:pPr>
        <w:adjustRightInd w:val="0"/>
        <w:snapToGrid w:val="0"/>
        <w:ind w:firstLineChars="200" w:firstLine="482"/>
        <w:rPr>
          <w:rFonts w:ascii="楷体" w:eastAsia="楷体" w:hAnsi="楷体"/>
          <w:sz w:val="24"/>
          <w:szCs w:val="24"/>
        </w:rPr>
      </w:pPr>
      <w:r>
        <w:rPr>
          <w:rFonts w:ascii="黑体" w:eastAsia="黑体" w:hAnsi="黑体" w:cs="黑体" w:hint="eastAsia"/>
          <w:b/>
          <w:bCs/>
          <w:sz w:val="24"/>
          <w:szCs w:val="24"/>
        </w:rPr>
        <w:t>第一作者简介：</w:t>
      </w:r>
      <w:r>
        <w:rPr>
          <w:rFonts w:ascii="楷体" w:eastAsia="楷体" w:hAnsi="楷体" w:hint="eastAsia"/>
          <w:sz w:val="24"/>
          <w:szCs w:val="24"/>
        </w:rPr>
        <w:t>姓名（出生年份-），性别，职称，学位，研究方向</w:t>
      </w:r>
      <w:r w:rsidR="00BB5339">
        <w:rPr>
          <w:rFonts w:ascii="楷体" w:eastAsia="楷体" w:hAnsi="楷体" w:hint="eastAsia"/>
          <w:sz w:val="24"/>
          <w:szCs w:val="24"/>
        </w:rPr>
        <w:t>，电子邮箱</w:t>
      </w:r>
      <w:r>
        <w:rPr>
          <w:rFonts w:ascii="楷体" w:eastAsia="楷体" w:hAnsi="楷体" w:hint="eastAsia"/>
          <w:sz w:val="24"/>
          <w:szCs w:val="24"/>
        </w:rPr>
        <w:t>。</w:t>
      </w:r>
    </w:p>
    <w:p w14:paraId="4B9CE835" w14:textId="77777777" w:rsidR="00182B31" w:rsidRDefault="00182B31" w:rsidP="00182B31">
      <w:pPr>
        <w:adjustRightInd w:val="0"/>
        <w:snapToGrid w:val="0"/>
        <w:ind w:firstLineChars="200" w:firstLine="480"/>
        <w:rPr>
          <w:rFonts w:ascii="楷体" w:eastAsia="楷体" w:hAnsi="楷体"/>
          <w:sz w:val="24"/>
          <w:szCs w:val="24"/>
        </w:rPr>
      </w:pPr>
    </w:p>
    <w:p w14:paraId="5D851185" w14:textId="77777777" w:rsidR="00182B31" w:rsidRDefault="00182B31" w:rsidP="00182B31">
      <w:pPr>
        <w:keepNext/>
        <w:widowControl w:val="0"/>
        <w:adjustRightInd w:val="0"/>
        <w:snapToGrid w:val="0"/>
        <w:ind w:firstLineChars="200" w:firstLine="482"/>
        <w:rPr>
          <w:rFonts w:ascii="黑体" w:eastAsia="黑体" w:hAnsi="黑体"/>
          <w:b/>
          <w:bCs/>
          <w:sz w:val="24"/>
          <w:szCs w:val="24"/>
        </w:rPr>
      </w:pPr>
      <w:r>
        <w:rPr>
          <w:rFonts w:ascii="黑体" w:eastAsia="黑体" w:hAnsi="黑体" w:cs="黑体" w:hint="eastAsia"/>
          <w:b/>
          <w:bCs/>
          <w:sz w:val="24"/>
          <w:szCs w:val="24"/>
        </w:rPr>
        <w:t>引言</w:t>
      </w:r>
    </w:p>
    <w:p w14:paraId="54FDF41B" w14:textId="77777777" w:rsidR="00182B31" w:rsidRDefault="00182B31" w:rsidP="00182B31">
      <w:pPr>
        <w:keepNext/>
        <w:widowControl w:val="0"/>
        <w:adjustRightInd w:val="0"/>
        <w:snapToGrid w:val="0"/>
        <w:ind w:firstLineChars="200" w:firstLine="480"/>
        <w:rPr>
          <w:rFonts w:ascii="楷体" w:eastAsia="楷体" w:hAnsi="楷体"/>
          <w:sz w:val="24"/>
          <w:szCs w:val="24"/>
        </w:rPr>
      </w:pPr>
      <w:r>
        <w:rPr>
          <w:rFonts w:ascii="楷体" w:eastAsia="楷体" w:hAnsi="楷体" w:hint="eastAsia"/>
          <w:sz w:val="24"/>
          <w:szCs w:val="24"/>
        </w:rPr>
        <w:t>引言作为论文的开头，是论文内容的重要提示。作者应以简短的篇幅介绍论文的写作背景、目的、缘起和提出研究要求的现实情况，并对相关领域</w:t>
      </w:r>
      <w:r>
        <w:rPr>
          <w:rFonts w:ascii="楷体" w:eastAsia="楷体" w:hAnsi="楷体" w:hint="eastAsia"/>
          <w:color w:val="FF0000"/>
          <w:sz w:val="24"/>
          <w:szCs w:val="24"/>
        </w:rPr>
        <w:t>国内外</w:t>
      </w:r>
      <w:r>
        <w:rPr>
          <w:rFonts w:ascii="楷体" w:eastAsia="楷体" w:hAnsi="楷体" w:hint="eastAsia"/>
          <w:sz w:val="24"/>
          <w:szCs w:val="24"/>
        </w:rPr>
        <w:t>近期的研究概况进行</w:t>
      </w:r>
      <w:r>
        <w:rPr>
          <w:rFonts w:ascii="楷体" w:eastAsia="楷体" w:hAnsi="楷体" w:hint="eastAsia"/>
          <w:sz w:val="24"/>
          <w:szCs w:val="24"/>
          <w:u w:val="wave"/>
        </w:rPr>
        <w:t>较完整的回顾和恰当的评述（文献综述）</w:t>
      </w:r>
      <w:r>
        <w:rPr>
          <w:rFonts w:ascii="楷体" w:eastAsia="楷体" w:hAnsi="楷体" w:hint="eastAsia"/>
          <w:sz w:val="24"/>
          <w:szCs w:val="24"/>
        </w:rPr>
        <w:t>，指出目前研究的优缺点或存在的不足，说明本研究与前人工作的关系，目前的研究热点、存在的问题及作者所做工作的意义，并陈述论文研究在此基础上所取得的成果和突破，最终落归到本文的研究目旳、意义和内容上。引言中对文献进行回顾和评述时，应当有针对性且较为具体；所引用的文献中，近五年文献比例不少于三分之一。同时注意，引言中不得出现图、表。</w:t>
      </w:r>
    </w:p>
    <w:p w14:paraId="2D8A9304" w14:textId="77777777" w:rsidR="00182B31" w:rsidRDefault="00182B31" w:rsidP="00182B31">
      <w:pPr>
        <w:widowControl w:val="0"/>
        <w:adjustRightInd w:val="0"/>
        <w:snapToGrid w:val="0"/>
        <w:ind w:firstLineChars="200" w:firstLine="480"/>
        <w:rPr>
          <w:rFonts w:ascii="黑体" w:eastAsia="黑体" w:hAnsi="黑体" w:cs="黑体"/>
          <w:b/>
          <w:bCs/>
          <w:sz w:val="24"/>
          <w:szCs w:val="24"/>
        </w:rPr>
      </w:pPr>
      <w:r>
        <w:rPr>
          <w:rFonts w:ascii="楷体" w:eastAsia="楷体" w:hAnsi="楷体" w:hint="eastAsia"/>
          <w:sz w:val="24"/>
          <w:szCs w:val="24"/>
        </w:rPr>
        <w:t>引言也可点明本文的理论依据、试验基础和研究方法，简单阐述其研究内容；用三言</w:t>
      </w:r>
      <w:r>
        <w:rPr>
          <w:rFonts w:ascii="楷体" w:eastAsia="楷体" w:hAnsi="楷体" w:hint="eastAsia"/>
          <w:sz w:val="24"/>
          <w:szCs w:val="24"/>
        </w:rPr>
        <w:lastRenderedPageBreak/>
        <w:t>两语预示本研究的结果、意义和前景，但不必展开讨论。</w:t>
      </w:r>
    </w:p>
    <w:p w14:paraId="3836C6D0" w14:textId="77777777" w:rsidR="00182B31" w:rsidRDefault="00182B31" w:rsidP="00182B31">
      <w:pPr>
        <w:widowControl w:val="0"/>
        <w:adjustRightInd w:val="0"/>
        <w:snapToGrid w:val="0"/>
        <w:spacing w:beforeLines="50" w:before="120" w:afterLines="50" w:after="120"/>
        <w:ind w:firstLineChars="200" w:firstLine="482"/>
        <w:rPr>
          <w:rFonts w:ascii="黑体" w:eastAsia="黑体" w:hAnsi="黑体"/>
          <w:b/>
          <w:bCs/>
          <w:sz w:val="24"/>
          <w:szCs w:val="24"/>
        </w:rPr>
      </w:pPr>
      <w:r>
        <w:rPr>
          <w:rFonts w:ascii="黑体" w:eastAsia="黑体" w:hAnsi="黑体" w:cs="黑体" w:hint="eastAsia"/>
          <w:b/>
          <w:bCs/>
          <w:sz w:val="24"/>
          <w:szCs w:val="24"/>
        </w:rPr>
        <w:t>1 正文</w:t>
      </w:r>
    </w:p>
    <w:p w14:paraId="2875E28B" w14:textId="77777777" w:rsidR="00182B31" w:rsidRDefault="00182B31" w:rsidP="00850D90">
      <w:pPr>
        <w:adjustRightInd w:val="0"/>
        <w:snapToGrid w:val="0"/>
        <w:ind w:firstLineChars="200" w:firstLine="480"/>
        <w:jc w:val="both"/>
        <w:rPr>
          <w:rFonts w:ascii="楷体" w:eastAsia="楷体" w:hAnsi="楷体"/>
          <w:sz w:val="24"/>
          <w:szCs w:val="24"/>
        </w:rPr>
      </w:pPr>
      <w:r>
        <w:rPr>
          <w:rFonts w:ascii="楷体" w:eastAsia="楷体" w:hAnsi="楷体" w:hint="eastAsia"/>
          <w:sz w:val="24"/>
          <w:szCs w:val="24"/>
        </w:rPr>
        <w:t>投稿时应检查：1）论文结构是否合理、逻辑是否清晰；2）语句是否通顺，论文中的错别字是否均已改正（论文投稿前一定要仔细通读几遍，务必把句子含义表达得非常清楚，避免因文字表达等问题被拒稿）；3）所有公式及涉及的物理量符号是否均已在文中解释含义；4）论文中的图、</w:t>
      </w:r>
      <w:proofErr w:type="gramStart"/>
      <w:r>
        <w:rPr>
          <w:rFonts w:ascii="楷体" w:eastAsia="楷体" w:hAnsi="楷体" w:hint="eastAsia"/>
          <w:sz w:val="24"/>
          <w:szCs w:val="24"/>
        </w:rPr>
        <w:t>表分析</w:t>
      </w:r>
      <w:proofErr w:type="gramEnd"/>
      <w:r>
        <w:rPr>
          <w:rFonts w:ascii="楷体" w:eastAsia="楷体" w:hAnsi="楷体" w:hint="eastAsia"/>
          <w:sz w:val="24"/>
          <w:szCs w:val="24"/>
        </w:rPr>
        <w:t>是否深入，不能只对图表进行一般性的描述，而应有深入的分析。</w:t>
      </w:r>
    </w:p>
    <w:p w14:paraId="4D80C530" w14:textId="77777777" w:rsidR="00182B31" w:rsidRDefault="00182B31" w:rsidP="00182B31">
      <w:pPr>
        <w:adjustRightInd w:val="0"/>
        <w:snapToGrid w:val="0"/>
        <w:spacing w:beforeLines="50" w:before="120" w:afterLines="50" w:after="120"/>
        <w:ind w:firstLineChars="200" w:firstLine="482"/>
        <w:rPr>
          <w:rFonts w:ascii="宋体" w:hAnsi="宋体" w:cs="宋体"/>
          <w:b/>
          <w:bCs/>
          <w:sz w:val="24"/>
          <w:szCs w:val="24"/>
        </w:rPr>
      </w:pPr>
      <w:r>
        <w:rPr>
          <w:rFonts w:ascii="宋体" w:hAnsi="宋体" w:cs="宋体" w:hint="eastAsia"/>
          <w:b/>
          <w:bCs/>
          <w:sz w:val="24"/>
          <w:szCs w:val="24"/>
        </w:rPr>
        <w:t>1.1文档格式要求</w:t>
      </w:r>
    </w:p>
    <w:p w14:paraId="6019A258" w14:textId="77777777" w:rsidR="00182B31" w:rsidRDefault="00182B31" w:rsidP="00182B31">
      <w:pPr>
        <w:adjustRightInd w:val="0"/>
        <w:snapToGrid w:val="0"/>
        <w:ind w:firstLineChars="200" w:firstLine="480"/>
        <w:rPr>
          <w:rFonts w:ascii="楷体" w:eastAsia="楷体" w:hAnsi="楷体"/>
          <w:sz w:val="24"/>
          <w:szCs w:val="24"/>
        </w:rPr>
      </w:pPr>
      <w:r>
        <w:rPr>
          <w:rFonts w:ascii="楷体" w:eastAsia="楷体" w:hAnsi="楷体" w:hint="eastAsia"/>
          <w:sz w:val="24"/>
          <w:szCs w:val="24"/>
        </w:rPr>
        <w:t>请将投稿文档保存</w:t>
      </w:r>
      <w:r>
        <w:rPr>
          <w:rFonts w:ascii="楷体" w:eastAsia="楷体" w:hAnsi="楷体" w:hint="eastAsia"/>
          <w:color w:val="FF0000"/>
          <w:sz w:val="24"/>
          <w:szCs w:val="24"/>
        </w:rPr>
        <w:t>为Word 文档格式</w:t>
      </w:r>
      <w:r>
        <w:rPr>
          <w:rFonts w:ascii="楷体" w:eastAsia="楷体" w:hAnsi="楷体" w:hint="eastAsia"/>
          <w:sz w:val="24"/>
          <w:szCs w:val="24"/>
        </w:rPr>
        <w:t>，请勿使用PDF格式。</w:t>
      </w:r>
    </w:p>
    <w:p w14:paraId="5275F6FD" w14:textId="77777777" w:rsidR="00182B31" w:rsidRDefault="00182B31" w:rsidP="00182B31">
      <w:pPr>
        <w:adjustRightInd w:val="0"/>
        <w:snapToGrid w:val="0"/>
        <w:spacing w:beforeLines="50" w:before="120" w:afterLines="50" w:after="120"/>
        <w:ind w:firstLineChars="200" w:firstLine="482"/>
        <w:rPr>
          <w:rFonts w:ascii="宋体" w:hAnsi="宋体" w:cs="宋体"/>
          <w:b/>
          <w:bCs/>
          <w:sz w:val="24"/>
          <w:szCs w:val="24"/>
        </w:rPr>
      </w:pPr>
      <w:r>
        <w:rPr>
          <w:rFonts w:ascii="宋体" w:hAnsi="宋体" w:cs="宋体" w:hint="eastAsia"/>
          <w:b/>
          <w:bCs/>
          <w:sz w:val="24"/>
          <w:szCs w:val="24"/>
        </w:rPr>
        <w:t>1.2图表要求</w:t>
      </w:r>
    </w:p>
    <w:p w14:paraId="12912CC4" w14:textId="77777777" w:rsidR="00182B31" w:rsidRDefault="00182B31" w:rsidP="00850D90">
      <w:pPr>
        <w:adjustRightInd w:val="0"/>
        <w:snapToGrid w:val="0"/>
        <w:ind w:firstLineChars="200" w:firstLine="480"/>
        <w:jc w:val="both"/>
        <w:rPr>
          <w:rFonts w:ascii="楷体" w:eastAsia="楷体" w:hAnsi="楷体"/>
          <w:sz w:val="24"/>
          <w:szCs w:val="24"/>
        </w:rPr>
      </w:pPr>
      <w:r>
        <w:rPr>
          <w:rFonts w:ascii="楷体" w:eastAsia="楷体" w:hAnsi="楷体" w:hint="eastAsia"/>
          <w:sz w:val="24"/>
          <w:szCs w:val="24"/>
        </w:rPr>
        <w:t>正文中的图、表按出现的先后顺序进行编号，</w:t>
      </w:r>
      <w:proofErr w:type="gramStart"/>
      <w:r>
        <w:rPr>
          <w:rFonts w:ascii="楷体" w:eastAsia="楷体" w:hAnsi="楷体" w:hint="eastAsia"/>
          <w:sz w:val="24"/>
          <w:szCs w:val="24"/>
        </w:rPr>
        <w:t>图必须</w:t>
      </w:r>
      <w:proofErr w:type="gramEnd"/>
      <w:r>
        <w:rPr>
          <w:rFonts w:ascii="楷体" w:eastAsia="楷体" w:hAnsi="楷体" w:hint="eastAsia"/>
          <w:sz w:val="24"/>
          <w:szCs w:val="24"/>
        </w:rPr>
        <w:t>清晰、精确，应当保证黑白印刷时具有足够的区分度，作者可自行黑白打印后检查效果。子图要有子图名。图表中文字均用中文表示，文中已有解释的符号或英文缩写除外。</w:t>
      </w:r>
      <w:proofErr w:type="gramStart"/>
      <w:r>
        <w:rPr>
          <w:rFonts w:ascii="楷体" w:eastAsia="楷体" w:hAnsi="楷体" w:hint="eastAsia"/>
          <w:sz w:val="24"/>
          <w:szCs w:val="24"/>
        </w:rPr>
        <w:t>图题置于</w:t>
      </w:r>
      <w:proofErr w:type="gramEnd"/>
      <w:r>
        <w:rPr>
          <w:rFonts w:ascii="楷体" w:eastAsia="楷体" w:hAnsi="楷体" w:hint="eastAsia"/>
          <w:sz w:val="24"/>
          <w:szCs w:val="24"/>
        </w:rPr>
        <w:t>图下方，</w:t>
      </w:r>
      <w:proofErr w:type="gramStart"/>
      <w:r>
        <w:rPr>
          <w:rFonts w:ascii="楷体" w:eastAsia="楷体" w:hAnsi="楷体" w:hint="eastAsia"/>
          <w:sz w:val="24"/>
          <w:szCs w:val="24"/>
        </w:rPr>
        <w:t>表题置于</w:t>
      </w:r>
      <w:proofErr w:type="gramEnd"/>
      <w:r>
        <w:rPr>
          <w:rFonts w:ascii="楷体" w:eastAsia="楷体" w:hAnsi="楷体" w:hint="eastAsia"/>
          <w:sz w:val="24"/>
          <w:szCs w:val="24"/>
        </w:rPr>
        <w:t>表上方，</w:t>
      </w:r>
      <w:r w:rsidR="00BB5339">
        <w:rPr>
          <w:rFonts w:ascii="楷体" w:eastAsia="楷体" w:hAnsi="楷体" w:hint="eastAsia"/>
          <w:sz w:val="24"/>
          <w:szCs w:val="24"/>
        </w:rPr>
        <w:t>附英文图题、表题，</w:t>
      </w:r>
      <w:r>
        <w:rPr>
          <w:rFonts w:ascii="楷体" w:eastAsia="楷体" w:hAnsi="楷体" w:hint="eastAsia"/>
          <w:sz w:val="24"/>
          <w:szCs w:val="24"/>
        </w:rPr>
        <w:t>坐标图的横、纵坐标必须标明其对应的量及单位（量纲为一的量除外）。</w:t>
      </w:r>
    </w:p>
    <w:p w14:paraId="666F2169" w14:textId="77777777" w:rsidR="00182B31" w:rsidRDefault="00182B31" w:rsidP="00182B31">
      <w:pPr>
        <w:adjustRightInd w:val="0"/>
        <w:snapToGrid w:val="0"/>
        <w:spacing w:beforeLines="50" w:before="120" w:afterLines="50" w:after="120"/>
        <w:ind w:firstLineChars="200" w:firstLine="482"/>
        <w:rPr>
          <w:rFonts w:ascii="宋体" w:hAnsi="宋体" w:cs="宋体"/>
          <w:b/>
          <w:bCs/>
          <w:sz w:val="24"/>
          <w:szCs w:val="24"/>
        </w:rPr>
      </w:pPr>
      <w:r>
        <w:rPr>
          <w:rFonts w:ascii="宋体" w:hAnsi="宋体" w:cs="宋体" w:hint="eastAsia"/>
          <w:b/>
          <w:bCs/>
          <w:sz w:val="24"/>
          <w:szCs w:val="24"/>
        </w:rPr>
        <w:t>1.3参数解释</w:t>
      </w:r>
    </w:p>
    <w:p w14:paraId="50619A8D" w14:textId="77777777" w:rsidR="00182B31" w:rsidRDefault="00182B31" w:rsidP="00850D90">
      <w:pPr>
        <w:adjustRightInd w:val="0"/>
        <w:snapToGrid w:val="0"/>
        <w:ind w:firstLineChars="200" w:firstLine="480"/>
        <w:jc w:val="both"/>
        <w:rPr>
          <w:rFonts w:ascii="楷体" w:eastAsia="楷体" w:hAnsi="楷体"/>
          <w:sz w:val="24"/>
          <w:szCs w:val="24"/>
        </w:rPr>
      </w:pPr>
      <w:r>
        <w:rPr>
          <w:rFonts w:ascii="楷体" w:eastAsia="楷体" w:hAnsi="楷体" w:hint="eastAsia"/>
          <w:color w:val="FF0000"/>
          <w:sz w:val="24"/>
          <w:szCs w:val="24"/>
        </w:rPr>
        <w:t>论文中出现的所有参数首次出现都必须解释。</w:t>
      </w:r>
      <w:r>
        <w:rPr>
          <w:rFonts w:ascii="楷体" w:eastAsia="楷体" w:hAnsi="楷体" w:hint="eastAsia"/>
          <w:sz w:val="24"/>
          <w:szCs w:val="24"/>
        </w:rPr>
        <w:t>这些参数包括：正文、公式（如果上、下标为变量，也应解释）、图、表中凡是有变量含义的符号（包括表示量及其上、下角标的符号）首次出现时必须一一解释，且一律用斜体，反之用正体。表示矩阵、矢量的符号一律用斜黑体。量的符号务必使用单个字母表示。</w:t>
      </w:r>
    </w:p>
    <w:p w14:paraId="4B72F228" w14:textId="77777777" w:rsidR="00182B31" w:rsidRDefault="00182B31" w:rsidP="00182B31">
      <w:pPr>
        <w:adjustRightInd w:val="0"/>
        <w:snapToGrid w:val="0"/>
        <w:spacing w:beforeLines="50" w:before="120" w:afterLines="50" w:after="120"/>
        <w:ind w:firstLineChars="200" w:firstLine="482"/>
        <w:rPr>
          <w:rFonts w:ascii="宋体" w:hAnsi="宋体" w:cs="宋体"/>
          <w:b/>
          <w:bCs/>
          <w:sz w:val="24"/>
          <w:szCs w:val="24"/>
        </w:rPr>
      </w:pPr>
      <w:r>
        <w:rPr>
          <w:rFonts w:ascii="宋体" w:hAnsi="宋体" w:cs="宋体" w:hint="eastAsia"/>
          <w:b/>
          <w:bCs/>
          <w:sz w:val="24"/>
          <w:szCs w:val="24"/>
        </w:rPr>
        <w:t>1.4单位要求</w:t>
      </w:r>
    </w:p>
    <w:p w14:paraId="13C0C7B1" w14:textId="77777777" w:rsidR="00182B31" w:rsidRDefault="00182B31" w:rsidP="00850D90">
      <w:pPr>
        <w:adjustRightInd w:val="0"/>
        <w:snapToGrid w:val="0"/>
        <w:ind w:firstLineChars="200" w:firstLine="480"/>
        <w:jc w:val="both"/>
        <w:rPr>
          <w:rFonts w:ascii="楷体" w:eastAsia="楷体" w:hAnsi="楷体"/>
          <w:sz w:val="24"/>
          <w:szCs w:val="24"/>
        </w:rPr>
      </w:pPr>
      <w:r>
        <w:rPr>
          <w:rFonts w:ascii="楷体" w:eastAsia="楷体" w:hAnsi="楷体" w:hint="eastAsia"/>
          <w:sz w:val="24"/>
          <w:szCs w:val="24"/>
        </w:rPr>
        <w:t>论文中涉及到量的单位，务必使用中国法定计量单位；图表中的量与单位之间用“/”切分，出现的复合单位用</w:t>
      </w:r>
      <w:proofErr w:type="gramStart"/>
      <w:r>
        <w:rPr>
          <w:rFonts w:ascii="楷体" w:eastAsia="楷体" w:hAnsi="楷体" w:hint="eastAsia"/>
          <w:sz w:val="24"/>
          <w:szCs w:val="24"/>
        </w:rPr>
        <w:t>幂</w:t>
      </w:r>
      <w:proofErr w:type="gramEnd"/>
      <w:r>
        <w:rPr>
          <w:rFonts w:ascii="楷体" w:eastAsia="楷体" w:hAnsi="楷体" w:hint="eastAsia"/>
          <w:sz w:val="24"/>
          <w:szCs w:val="24"/>
        </w:rPr>
        <w:t>的形式表示；度、分、秒的符号外加圆括号。</w:t>
      </w:r>
    </w:p>
    <w:p w14:paraId="65B99F00" w14:textId="77777777" w:rsidR="00182B31" w:rsidRPr="00BB5339" w:rsidRDefault="00182B31" w:rsidP="00BB5339">
      <w:pPr>
        <w:adjustRightInd w:val="0"/>
        <w:snapToGrid w:val="0"/>
        <w:spacing w:beforeLines="50" w:before="120" w:afterLines="50" w:after="120"/>
        <w:ind w:firstLineChars="200" w:firstLine="482"/>
        <w:rPr>
          <w:rFonts w:ascii="宋体" w:hAnsi="宋体" w:cs="宋体"/>
          <w:b/>
          <w:bCs/>
          <w:sz w:val="24"/>
          <w:szCs w:val="24"/>
        </w:rPr>
      </w:pPr>
      <w:r w:rsidRPr="00BB5339">
        <w:rPr>
          <w:rFonts w:ascii="宋体" w:hAnsi="宋体" w:cs="宋体" w:hint="eastAsia"/>
          <w:b/>
          <w:bCs/>
          <w:sz w:val="24"/>
          <w:szCs w:val="24"/>
        </w:rPr>
        <w:t>1.5公式要求</w:t>
      </w:r>
    </w:p>
    <w:p w14:paraId="1D15AAB4" w14:textId="77777777" w:rsidR="00182B31" w:rsidRDefault="00182B31" w:rsidP="00850D90">
      <w:pPr>
        <w:adjustRightInd w:val="0"/>
        <w:snapToGrid w:val="0"/>
        <w:ind w:firstLineChars="200" w:firstLine="480"/>
        <w:jc w:val="both"/>
        <w:rPr>
          <w:rFonts w:ascii="楷体" w:eastAsia="楷体" w:hAnsi="楷体"/>
          <w:sz w:val="24"/>
          <w:szCs w:val="24"/>
        </w:rPr>
      </w:pPr>
      <w:r>
        <w:rPr>
          <w:rFonts w:ascii="楷体" w:eastAsia="楷体" w:hAnsi="楷体" w:hint="eastAsia"/>
          <w:sz w:val="24"/>
          <w:szCs w:val="24"/>
        </w:rPr>
        <w:t>公式务必清晰，请使用</w:t>
      </w:r>
      <w:r>
        <w:rPr>
          <w:rFonts w:ascii="Arial" w:eastAsia="楷体" w:hAnsi="Arial" w:cs="Arial"/>
          <w:sz w:val="24"/>
          <w:szCs w:val="24"/>
        </w:rPr>
        <w:t>Math</w:t>
      </w:r>
      <w:r>
        <w:rPr>
          <w:rFonts w:ascii="Arial" w:eastAsia="楷体" w:hAnsi="Arial" w:cs="Arial" w:hint="eastAsia"/>
          <w:sz w:val="24"/>
          <w:szCs w:val="24"/>
        </w:rPr>
        <w:t xml:space="preserve"> </w:t>
      </w:r>
      <w:r>
        <w:rPr>
          <w:rFonts w:ascii="Arial" w:eastAsia="楷体" w:hAnsi="Arial" w:cs="Arial"/>
          <w:sz w:val="24"/>
          <w:szCs w:val="24"/>
        </w:rPr>
        <w:t>Type</w:t>
      </w:r>
      <w:r>
        <w:rPr>
          <w:rFonts w:ascii="楷体" w:eastAsia="楷体" w:hAnsi="楷体" w:hint="eastAsia"/>
          <w:sz w:val="24"/>
          <w:szCs w:val="24"/>
        </w:rPr>
        <w:t>编辑(公式中符号正斜体设置方法：</w:t>
      </w:r>
      <w:r>
        <w:rPr>
          <w:rFonts w:ascii="Arial" w:eastAsia="楷体" w:hAnsi="Arial" w:cs="Arial"/>
          <w:sz w:val="24"/>
          <w:szCs w:val="24"/>
        </w:rPr>
        <w:t>Math</w:t>
      </w:r>
      <w:r>
        <w:rPr>
          <w:rFonts w:ascii="Arial" w:eastAsia="楷体" w:hAnsi="Arial" w:cs="Arial" w:hint="eastAsia"/>
          <w:sz w:val="24"/>
          <w:szCs w:val="24"/>
        </w:rPr>
        <w:t xml:space="preserve">- </w:t>
      </w:r>
      <w:r>
        <w:rPr>
          <w:rFonts w:ascii="Arial" w:eastAsia="楷体" w:hAnsi="Arial" w:cs="Arial"/>
          <w:sz w:val="24"/>
          <w:szCs w:val="24"/>
        </w:rPr>
        <w:t>Type</w:t>
      </w:r>
      <w:r>
        <w:rPr>
          <w:rFonts w:ascii="楷体" w:eastAsia="楷体" w:hAnsi="楷体" w:hint="eastAsia"/>
          <w:sz w:val="24"/>
          <w:szCs w:val="24"/>
        </w:rPr>
        <w:t>-样式-定义-高级)，同一编号下的不同公式连排用逗号切分；公式与约束条件并排，用逗号切分。</w:t>
      </w:r>
    </w:p>
    <w:p w14:paraId="63427DDA" w14:textId="77777777" w:rsidR="00182B31" w:rsidRDefault="00182B31" w:rsidP="00182B31">
      <w:pPr>
        <w:adjustRightInd w:val="0"/>
        <w:snapToGrid w:val="0"/>
        <w:spacing w:beforeLines="50" w:before="120" w:afterLines="50" w:after="120"/>
        <w:ind w:firstLineChars="200" w:firstLine="482"/>
        <w:rPr>
          <w:rFonts w:ascii="黑体" w:eastAsia="黑体" w:hAnsi="黑体"/>
          <w:b/>
          <w:bCs/>
          <w:sz w:val="24"/>
          <w:szCs w:val="24"/>
        </w:rPr>
      </w:pPr>
      <w:r>
        <w:rPr>
          <w:rFonts w:ascii="黑体" w:eastAsia="黑体" w:hAnsi="黑体" w:cs="黑体" w:hint="eastAsia"/>
          <w:b/>
          <w:bCs/>
          <w:sz w:val="24"/>
          <w:szCs w:val="24"/>
        </w:rPr>
        <w:t>2 结论</w:t>
      </w:r>
    </w:p>
    <w:p w14:paraId="08E2F275" w14:textId="77777777" w:rsidR="00182B31" w:rsidRDefault="00182B31" w:rsidP="00850D90">
      <w:pPr>
        <w:adjustRightInd w:val="0"/>
        <w:snapToGrid w:val="0"/>
        <w:ind w:firstLineChars="200" w:firstLine="480"/>
        <w:jc w:val="both"/>
        <w:rPr>
          <w:rFonts w:ascii="楷体" w:eastAsia="楷体" w:hAnsi="楷体"/>
          <w:sz w:val="24"/>
          <w:szCs w:val="24"/>
        </w:rPr>
      </w:pPr>
      <w:r>
        <w:rPr>
          <w:rFonts w:ascii="楷体" w:eastAsia="楷体" w:hAnsi="楷体" w:hint="eastAsia"/>
          <w:sz w:val="24"/>
          <w:szCs w:val="24"/>
        </w:rPr>
        <w:t>结论应当明确、具体、简练，并说明论文研究的实用意义以及研究中存在的不足、后续工作的展望等。结语不能是论文中各节的简单总结，也不能与摘要简单重复。</w:t>
      </w:r>
    </w:p>
    <w:p w14:paraId="1ACC0792" w14:textId="77777777" w:rsidR="00D10B83" w:rsidRDefault="00182B31" w:rsidP="00D10B83">
      <w:pPr>
        <w:adjustRightInd w:val="0"/>
        <w:snapToGrid w:val="0"/>
        <w:spacing w:beforeLines="50" w:before="120" w:afterLines="50" w:after="120"/>
        <w:ind w:firstLineChars="200" w:firstLine="482"/>
        <w:rPr>
          <w:rFonts w:ascii="黑体" w:eastAsia="黑体" w:hAnsi="黑体" w:cs="黑体"/>
          <w:b/>
          <w:bCs/>
          <w:sz w:val="24"/>
          <w:szCs w:val="24"/>
        </w:rPr>
      </w:pPr>
      <w:r>
        <w:rPr>
          <w:rFonts w:ascii="黑体" w:eastAsia="黑体" w:hAnsi="黑体" w:cs="黑体" w:hint="eastAsia"/>
          <w:b/>
          <w:bCs/>
          <w:sz w:val="24"/>
          <w:szCs w:val="24"/>
        </w:rPr>
        <w:t>参考文献：</w:t>
      </w:r>
    </w:p>
    <w:p w14:paraId="397820AD" w14:textId="0DFC155B" w:rsidR="00D10B83" w:rsidRPr="00D10B83" w:rsidRDefault="00D10B83" w:rsidP="00D10B83">
      <w:pPr>
        <w:adjustRightInd w:val="0"/>
        <w:snapToGrid w:val="0"/>
        <w:spacing w:beforeLines="50" w:before="120" w:afterLines="50" w:after="120"/>
        <w:ind w:firstLineChars="200" w:firstLine="480"/>
        <w:rPr>
          <w:rFonts w:ascii="楷体" w:eastAsia="楷体" w:hAnsi="楷体" w:cs="黑体"/>
          <w:kern w:val="44"/>
          <w:sz w:val="24"/>
          <w:szCs w:val="24"/>
        </w:rPr>
      </w:pPr>
      <w:r w:rsidRPr="00D10B83">
        <w:rPr>
          <w:rFonts w:ascii="楷体" w:eastAsia="楷体" w:hAnsi="楷体" w:cs="黑体" w:hint="eastAsia"/>
          <w:kern w:val="44"/>
          <w:sz w:val="24"/>
          <w:szCs w:val="24"/>
        </w:rPr>
        <w:t>《火箭军工程大学学报》参考文献务必规范化，未公开发表的资料请勿引用。文献序号按其在文中出现的先后顺序编排。参考文献执行国家标准(GB/T7714－2015)规定的著录规则，中文参考文献同时列出相应英文引用格式。</w:t>
      </w:r>
    </w:p>
    <w:p w14:paraId="508A50BB" w14:textId="77777777" w:rsidR="00D10B83" w:rsidRPr="00D10B83" w:rsidRDefault="00D10B83" w:rsidP="00D10B83">
      <w:pPr>
        <w:pStyle w:val="1"/>
        <w:spacing w:before="100" w:after="100" w:line="240" w:lineRule="auto"/>
        <w:ind w:firstLineChars="200" w:firstLine="480"/>
        <w:rPr>
          <w:rFonts w:ascii="楷体" w:eastAsia="楷体" w:hAnsi="楷体"/>
          <w:b w:val="0"/>
          <w:bCs w:val="0"/>
          <w:sz w:val="24"/>
          <w:szCs w:val="24"/>
        </w:rPr>
      </w:pPr>
      <w:r w:rsidRPr="00D10B83">
        <w:rPr>
          <w:rFonts w:ascii="楷体" w:eastAsia="楷体" w:hAnsi="楷体" w:hint="eastAsia"/>
          <w:b w:val="0"/>
          <w:bCs w:val="0"/>
          <w:sz w:val="24"/>
          <w:szCs w:val="24"/>
        </w:rPr>
        <w:lastRenderedPageBreak/>
        <w:t>1.书籍：[序号]作者. 题名[M]. 版次（初版不写）. 出版地：出版社，出版年：起止页码.</w:t>
      </w:r>
    </w:p>
    <w:p w14:paraId="65480580" w14:textId="77777777" w:rsidR="00D10B83" w:rsidRPr="00D10B83" w:rsidRDefault="00D10B83" w:rsidP="00D10B83">
      <w:pPr>
        <w:pStyle w:val="1"/>
        <w:spacing w:before="100" w:after="100" w:line="240" w:lineRule="auto"/>
        <w:ind w:firstLineChars="200" w:firstLine="480"/>
        <w:rPr>
          <w:rFonts w:ascii="楷体" w:eastAsia="楷体" w:hAnsi="楷体"/>
          <w:b w:val="0"/>
          <w:bCs w:val="0"/>
          <w:sz w:val="24"/>
          <w:szCs w:val="24"/>
        </w:rPr>
      </w:pPr>
      <w:r w:rsidRPr="00D10B83">
        <w:rPr>
          <w:rFonts w:ascii="楷体" w:eastAsia="楷体" w:hAnsi="楷体" w:hint="eastAsia"/>
          <w:b w:val="0"/>
          <w:bCs w:val="0"/>
          <w:sz w:val="24"/>
          <w:szCs w:val="24"/>
        </w:rPr>
        <w:t>2.译著：[序号]作者. 题名[M]. 译者. 版次（初版不写）. 出版地：出版社，出版年：起止页码.</w:t>
      </w:r>
    </w:p>
    <w:p w14:paraId="1707EB1A" w14:textId="77777777" w:rsidR="00D10B83" w:rsidRPr="00D10B83" w:rsidRDefault="00D10B83" w:rsidP="00D10B83">
      <w:pPr>
        <w:pStyle w:val="1"/>
        <w:spacing w:before="100" w:after="100" w:line="240" w:lineRule="auto"/>
        <w:ind w:firstLineChars="200" w:firstLine="480"/>
        <w:rPr>
          <w:rFonts w:ascii="楷体" w:eastAsia="楷体" w:hAnsi="楷体"/>
          <w:b w:val="0"/>
          <w:bCs w:val="0"/>
          <w:sz w:val="24"/>
          <w:szCs w:val="24"/>
        </w:rPr>
      </w:pPr>
      <w:r w:rsidRPr="00D10B83">
        <w:rPr>
          <w:rFonts w:ascii="楷体" w:eastAsia="楷体" w:hAnsi="楷体" w:hint="eastAsia"/>
          <w:b w:val="0"/>
          <w:bCs w:val="0"/>
          <w:sz w:val="24"/>
          <w:szCs w:val="24"/>
        </w:rPr>
        <w:t>3.期刊论文：[序号]作者. 题名[J]. 期刊名，年，卷（期）：起止页码.</w:t>
      </w:r>
    </w:p>
    <w:p w14:paraId="25D2F1A1" w14:textId="77777777" w:rsidR="00D10B83" w:rsidRPr="00D10B83" w:rsidRDefault="00D10B83" w:rsidP="00D10B83">
      <w:pPr>
        <w:pStyle w:val="1"/>
        <w:spacing w:before="100" w:after="100" w:line="240" w:lineRule="auto"/>
        <w:ind w:firstLineChars="200" w:firstLine="480"/>
        <w:rPr>
          <w:rFonts w:ascii="楷体" w:eastAsia="楷体" w:hAnsi="楷体"/>
          <w:b w:val="0"/>
          <w:bCs w:val="0"/>
          <w:sz w:val="24"/>
          <w:szCs w:val="24"/>
        </w:rPr>
      </w:pPr>
      <w:r w:rsidRPr="00D10B83">
        <w:rPr>
          <w:rFonts w:ascii="楷体" w:eastAsia="楷体" w:hAnsi="楷体" w:hint="eastAsia"/>
          <w:b w:val="0"/>
          <w:bCs w:val="0"/>
          <w:sz w:val="24"/>
          <w:szCs w:val="24"/>
        </w:rPr>
        <w:t>4.专著中的析出文献：[序号]作者. 题名[M]//专著责任者. 专著题名. 出版地：出版社，出版年：起止页码.</w:t>
      </w:r>
    </w:p>
    <w:p w14:paraId="288C7545" w14:textId="77777777" w:rsidR="00D10B83" w:rsidRPr="00D10B83" w:rsidRDefault="00D10B83" w:rsidP="00D10B83">
      <w:pPr>
        <w:pStyle w:val="1"/>
        <w:spacing w:before="100" w:after="100" w:line="240" w:lineRule="auto"/>
        <w:ind w:firstLineChars="200" w:firstLine="480"/>
        <w:rPr>
          <w:rFonts w:ascii="楷体" w:eastAsia="楷体" w:hAnsi="楷体"/>
          <w:b w:val="0"/>
          <w:bCs w:val="0"/>
          <w:sz w:val="24"/>
          <w:szCs w:val="24"/>
        </w:rPr>
      </w:pPr>
      <w:r w:rsidRPr="00D10B83">
        <w:rPr>
          <w:rFonts w:ascii="楷体" w:eastAsia="楷体" w:hAnsi="楷体" w:hint="eastAsia"/>
          <w:b w:val="0"/>
          <w:bCs w:val="0"/>
          <w:sz w:val="24"/>
          <w:szCs w:val="24"/>
        </w:rPr>
        <w:t>5.论文集中的析出文献：[序号]作者. 题名[C]//论文集责任者. 论文集题名. 出版地：出版社，出版年：起止页码.</w:t>
      </w:r>
    </w:p>
    <w:p w14:paraId="2F7BB25B" w14:textId="77777777" w:rsidR="00D10B83" w:rsidRPr="00D10B83" w:rsidRDefault="00D10B83" w:rsidP="00D10B83">
      <w:pPr>
        <w:pStyle w:val="1"/>
        <w:spacing w:before="100" w:after="100" w:line="240" w:lineRule="auto"/>
        <w:ind w:firstLineChars="200" w:firstLine="480"/>
        <w:rPr>
          <w:rFonts w:ascii="楷体" w:eastAsia="楷体" w:hAnsi="楷体"/>
          <w:b w:val="0"/>
          <w:bCs w:val="0"/>
          <w:sz w:val="24"/>
          <w:szCs w:val="24"/>
        </w:rPr>
      </w:pPr>
      <w:r w:rsidRPr="00D10B83">
        <w:rPr>
          <w:rFonts w:ascii="楷体" w:eastAsia="楷体" w:hAnsi="楷体" w:hint="eastAsia"/>
          <w:b w:val="0"/>
          <w:bCs w:val="0"/>
          <w:sz w:val="24"/>
          <w:szCs w:val="24"/>
        </w:rPr>
        <w:t>6.学位论文：[序号]作者. 题名[D]. 学位授予地：学位授予单位，答辩年份：起止页码.</w:t>
      </w:r>
    </w:p>
    <w:p w14:paraId="3776222E" w14:textId="77777777" w:rsidR="00D10B83" w:rsidRPr="00D10B83" w:rsidRDefault="00D10B83" w:rsidP="00D10B83">
      <w:pPr>
        <w:pStyle w:val="1"/>
        <w:spacing w:before="100" w:after="100" w:line="240" w:lineRule="auto"/>
        <w:ind w:firstLineChars="200" w:firstLine="480"/>
        <w:rPr>
          <w:rFonts w:ascii="楷体" w:eastAsia="楷体" w:hAnsi="楷体"/>
          <w:b w:val="0"/>
          <w:bCs w:val="0"/>
          <w:sz w:val="24"/>
          <w:szCs w:val="24"/>
        </w:rPr>
      </w:pPr>
      <w:r w:rsidRPr="00D10B83">
        <w:rPr>
          <w:rFonts w:ascii="楷体" w:eastAsia="楷体" w:hAnsi="楷体" w:hint="eastAsia"/>
          <w:b w:val="0"/>
          <w:bCs w:val="0"/>
          <w:sz w:val="24"/>
          <w:szCs w:val="24"/>
        </w:rPr>
        <w:t>7.国际或国家标准：[序号]责任者. 标准名称：标准代号—发布年[S]. 出版地：出版社，出版年：起止页码.</w:t>
      </w:r>
    </w:p>
    <w:p w14:paraId="4A09FF60" w14:textId="77777777" w:rsidR="00D10B83" w:rsidRPr="00D10B83" w:rsidRDefault="00D10B83" w:rsidP="00D10B83">
      <w:pPr>
        <w:pStyle w:val="1"/>
        <w:spacing w:before="100" w:after="100" w:line="240" w:lineRule="auto"/>
        <w:ind w:firstLineChars="200" w:firstLine="480"/>
        <w:rPr>
          <w:rFonts w:ascii="楷体" w:eastAsia="楷体" w:hAnsi="楷体"/>
          <w:b w:val="0"/>
          <w:bCs w:val="0"/>
          <w:sz w:val="24"/>
          <w:szCs w:val="24"/>
        </w:rPr>
      </w:pPr>
      <w:r w:rsidRPr="00D10B83">
        <w:rPr>
          <w:rFonts w:ascii="楷体" w:eastAsia="楷体" w:hAnsi="楷体" w:hint="eastAsia"/>
          <w:b w:val="0"/>
          <w:bCs w:val="0"/>
          <w:sz w:val="24"/>
          <w:szCs w:val="24"/>
        </w:rPr>
        <w:t>8.专利：[序号]专利所有者. 专利题名：专利号[P]. 公告日期或公开日期.</w:t>
      </w:r>
    </w:p>
    <w:p w14:paraId="7C96D658" w14:textId="77777777" w:rsidR="00D10B83" w:rsidRPr="00D10B83" w:rsidRDefault="00D10B83" w:rsidP="00D10B83">
      <w:pPr>
        <w:pStyle w:val="1"/>
        <w:spacing w:before="100" w:after="100" w:line="240" w:lineRule="auto"/>
        <w:ind w:firstLineChars="200" w:firstLine="480"/>
        <w:rPr>
          <w:rFonts w:ascii="楷体" w:eastAsia="楷体" w:hAnsi="楷体"/>
          <w:b w:val="0"/>
          <w:bCs w:val="0"/>
          <w:sz w:val="24"/>
          <w:szCs w:val="24"/>
        </w:rPr>
      </w:pPr>
      <w:r w:rsidRPr="00D10B83">
        <w:rPr>
          <w:rFonts w:ascii="楷体" w:eastAsia="楷体" w:hAnsi="楷体" w:hint="eastAsia"/>
          <w:b w:val="0"/>
          <w:bCs w:val="0"/>
          <w:sz w:val="24"/>
          <w:szCs w:val="24"/>
        </w:rPr>
        <w:t>9.电子文献：[序号]作者. 题名[文献类型标识/文献载体标识]. 出版地：出版社，出版年：起止页码（修改或更新日期）[引用日期].获取和访问路径.</w:t>
      </w:r>
    </w:p>
    <w:p w14:paraId="41A9F151" w14:textId="77777777" w:rsidR="00D10B83" w:rsidRPr="00D10B83" w:rsidRDefault="00D10B83" w:rsidP="00D10B83">
      <w:pPr>
        <w:pStyle w:val="1"/>
        <w:spacing w:before="100" w:after="100" w:line="240" w:lineRule="auto"/>
        <w:ind w:firstLineChars="200" w:firstLine="480"/>
        <w:rPr>
          <w:rFonts w:ascii="楷体" w:eastAsia="楷体" w:hAnsi="楷体"/>
          <w:b w:val="0"/>
          <w:bCs w:val="0"/>
          <w:sz w:val="24"/>
          <w:szCs w:val="24"/>
        </w:rPr>
      </w:pPr>
      <w:r w:rsidRPr="00D10B83">
        <w:rPr>
          <w:rFonts w:ascii="楷体" w:eastAsia="楷体" w:hAnsi="楷体" w:hint="eastAsia"/>
          <w:b w:val="0"/>
          <w:bCs w:val="0"/>
          <w:sz w:val="24"/>
          <w:szCs w:val="24"/>
        </w:rPr>
        <w:t>文献作者3名以内应全部列出，4名以上的只列出前3名，后面加“等”（或</w:t>
      </w:r>
      <w:proofErr w:type="spellStart"/>
      <w:r w:rsidRPr="00D10B83">
        <w:rPr>
          <w:rFonts w:ascii="楷体" w:eastAsia="楷体" w:hAnsi="楷体" w:hint="eastAsia"/>
          <w:b w:val="0"/>
          <w:bCs w:val="0"/>
          <w:sz w:val="24"/>
          <w:szCs w:val="24"/>
        </w:rPr>
        <w:t>etal</w:t>
      </w:r>
      <w:proofErr w:type="spellEnd"/>
      <w:r w:rsidRPr="00D10B83">
        <w:rPr>
          <w:rFonts w:ascii="楷体" w:eastAsia="楷体" w:hAnsi="楷体" w:hint="eastAsia"/>
          <w:b w:val="0"/>
          <w:bCs w:val="0"/>
          <w:sz w:val="24"/>
          <w:szCs w:val="24"/>
        </w:rPr>
        <w:t>）。中、外文</w:t>
      </w:r>
      <w:proofErr w:type="gramStart"/>
      <w:r w:rsidRPr="00D10B83">
        <w:rPr>
          <w:rFonts w:ascii="楷体" w:eastAsia="楷体" w:hAnsi="楷体" w:hint="eastAsia"/>
          <w:b w:val="0"/>
          <w:bCs w:val="0"/>
          <w:sz w:val="24"/>
          <w:szCs w:val="24"/>
        </w:rPr>
        <w:t>作者均姓前</w:t>
      </w:r>
      <w:proofErr w:type="gramEnd"/>
      <w:r w:rsidRPr="00D10B83">
        <w:rPr>
          <w:rFonts w:ascii="楷体" w:eastAsia="楷体" w:hAnsi="楷体" w:hint="eastAsia"/>
          <w:b w:val="0"/>
          <w:bCs w:val="0"/>
          <w:sz w:val="24"/>
          <w:szCs w:val="24"/>
        </w:rPr>
        <w:t>名后，</w:t>
      </w:r>
      <w:proofErr w:type="gramStart"/>
      <w:r w:rsidRPr="00D10B83">
        <w:rPr>
          <w:rFonts w:ascii="楷体" w:eastAsia="楷体" w:hAnsi="楷体" w:hint="eastAsia"/>
          <w:b w:val="0"/>
          <w:bCs w:val="0"/>
          <w:sz w:val="24"/>
          <w:szCs w:val="24"/>
        </w:rPr>
        <w:t>姓需大写</w:t>
      </w:r>
      <w:proofErr w:type="gramEnd"/>
      <w:r w:rsidRPr="00D10B83">
        <w:rPr>
          <w:rFonts w:ascii="楷体" w:eastAsia="楷体" w:hAnsi="楷体" w:hint="eastAsia"/>
          <w:b w:val="0"/>
          <w:bCs w:val="0"/>
          <w:sz w:val="24"/>
          <w:szCs w:val="24"/>
        </w:rPr>
        <w:t>，名可缩写，不加缩写点。</w:t>
      </w:r>
    </w:p>
    <w:p w14:paraId="2C9465BE" w14:textId="77777777" w:rsidR="00850D90" w:rsidRPr="00850D90" w:rsidRDefault="00850D90" w:rsidP="00850D90">
      <w:pPr>
        <w:sectPr w:rsidR="00850D90" w:rsidRPr="00850D90" w:rsidSect="00FC4A8C">
          <w:headerReference w:type="default" r:id="rId10"/>
          <w:type w:val="continuous"/>
          <w:pgSz w:w="11907" w:h="16839"/>
          <w:pgMar w:top="1587" w:right="1167" w:bottom="1482" w:left="1167" w:header="720" w:footer="720" w:gutter="0"/>
          <w:cols w:space="720"/>
        </w:sectPr>
      </w:pPr>
    </w:p>
    <w:p w14:paraId="540FE5D1" w14:textId="77777777" w:rsidR="00BC140E" w:rsidRDefault="00BC140E" w:rsidP="00BC140E">
      <w:pPr>
        <w:pStyle w:val="1"/>
        <w:spacing w:before="100" w:after="100" w:line="360" w:lineRule="auto"/>
        <w:jc w:val="left"/>
        <w:rPr>
          <w:rFonts w:ascii="黑体" w:eastAsia="黑体"/>
          <w:sz w:val="32"/>
          <w:szCs w:val="32"/>
        </w:rPr>
      </w:pPr>
      <w:r>
        <w:rPr>
          <w:rFonts w:ascii="黑体" w:eastAsia="黑体" w:hint="eastAsia"/>
          <w:sz w:val="32"/>
          <w:szCs w:val="32"/>
        </w:rPr>
        <w:lastRenderedPageBreak/>
        <w:t>文章示例：</w:t>
      </w:r>
    </w:p>
    <w:p w14:paraId="00F05AD2" w14:textId="77777777" w:rsidR="009911A0" w:rsidRDefault="002B582B">
      <w:pPr>
        <w:pStyle w:val="Normalwrd1"/>
        <w:ind w:left="420" w:right="420"/>
        <w:jc w:val="center"/>
        <w:rPr>
          <w:rFonts w:ascii="方正小标宋简体" w:eastAsia="方正小标宋简体" w:hAnsi="方正小标宋简体"/>
          <w:sz w:val="42"/>
          <w:szCs w:val="42"/>
        </w:rPr>
      </w:pPr>
      <w:r>
        <w:rPr>
          <w:rFonts w:ascii="方正小标宋简体" w:hAnsi="方正小标宋简体"/>
          <w:sz w:val="42"/>
          <w:szCs w:val="42"/>
        </w:rPr>
        <w:t>Logistic</w:t>
      </w:r>
      <w:proofErr w:type="gramStart"/>
      <w:r>
        <w:rPr>
          <w:rFonts w:ascii="方正小标宋简体" w:eastAsia="方正小标宋简体" w:hAnsi="方正小标宋简体"/>
          <w:sz w:val="42"/>
          <w:szCs w:val="42"/>
        </w:rPr>
        <w:t>函数型土体</w:t>
      </w:r>
      <w:proofErr w:type="gramEnd"/>
      <w:r>
        <w:rPr>
          <w:rFonts w:ascii="方正小标宋简体" w:eastAsia="方正小标宋简体" w:hAnsi="方正小标宋简体"/>
          <w:sz w:val="42"/>
          <w:szCs w:val="42"/>
        </w:rPr>
        <w:t>非线性</w:t>
      </w:r>
      <w:proofErr w:type="gramStart"/>
      <w:r>
        <w:rPr>
          <w:rFonts w:ascii="方正小标宋简体" w:eastAsia="方正小标宋简体" w:hAnsi="方正小标宋简体"/>
          <w:sz w:val="42"/>
          <w:szCs w:val="42"/>
        </w:rPr>
        <w:t>动力本构模型</w:t>
      </w:r>
      <w:proofErr w:type="gramEnd"/>
    </w:p>
    <w:p w14:paraId="1FD8E03D" w14:textId="77777777" w:rsidR="009911A0" w:rsidRDefault="002B582B">
      <w:pPr>
        <w:pStyle w:val="Normalwrd1"/>
        <w:ind w:left="420" w:right="420"/>
        <w:jc w:val="center"/>
        <w:rPr>
          <w:rFonts w:ascii="方正小标宋简体" w:eastAsia="方正小标宋简体" w:hAnsi="方正小标宋简体"/>
          <w:sz w:val="42"/>
          <w:szCs w:val="42"/>
        </w:rPr>
      </w:pPr>
      <w:r>
        <w:rPr>
          <w:rFonts w:ascii="方正小标宋简体" w:eastAsia="方正小标宋简体" w:hAnsi="方正小标宋简体"/>
          <w:sz w:val="42"/>
          <w:szCs w:val="42"/>
        </w:rPr>
        <w:t>及数值应用</w:t>
      </w:r>
    </w:p>
    <w:p w14:paraId="5E1F559B" w14:textId="77777777" w:rsidR="009911A0" w:rsidRDefault="009911A0">
      <w:pPr>
        <w:pStyle w:val="Normalwrd1"/>
        <w:ind w:left="420" w:right="420"/>
        <w:jc w:val="center"/>
        <w:rPr>
          <w:rFonts w:ascii="宋体" w:hAnsi="宋体"/>
          <w:sz w:val="42"/>
          <w:szCs w:val="42"/>
        </w:rPr>
      </w:pPr>
    </w:p>
    <w:p w14:paraId="732411A8" w14:textId="77777777" w:rsidR="009911A0" w:rsidRDefault="008F5CFF">
      <w:pPr>
        <w:pStyle w:val="Normalwrd1"/>
        <w:ind w:left="420" w:right="420"/>
        <w:jc w:val="center"/>
        <w:rPr>
          <w:rFonts w:ascii="楷体" w:eastAsia="楷体" w:hAnsi="楷体"/>
        </w:rPr>
      </w:pPr>
      <w:r>
        <w:rPr>
          <w:rFonts w:eastAsia="楷体" w:hint="eastAsia"/>
          <w:sz w:val="24"/>
          <w:szCs w:val="24"/>
        </w:rPr>
        <w:t>×××</w:t>
      </w:r>
      <w:r w:rsidR="002B582B">
        <w:rPr>
          <w:rFonts w:ascii="楷体" w:hAnsi="楷体"/>
          <w:sz w:val="24"/>
          <w:szCs w:val="24"/>
          <w:vertAlign w:val="superscript"/>
        </w:rPr>
        <w:t>1</w:t>
      </w:r>
      <w:r w:rsidR="002B582B">
        <w:rPr>
          <w:rFonts w:eastAsia="楷体"/>
          <w:sz w:val="24"/>
          <w:szCs w:val="24"/>
        </w:rPr>
        <w:t>，</w:t>
      </w:r>
      <w:r>
        <w:rPr>
          <w:rFonts w:eastAsia="楷体" w:hint="eastAsia"/>
          <w:sz w:val="24"/>
          <w:szCs w:val="24"/>
        </w:rPr>
        <w:t>×××</w:t>
      </w:r>
      <w:r w:rsidR="002B582B">
        <w:rPr>
          <w:rFonts w:ascii="楷体" w:hAnsi="楷体"/>
          <w:sz w:val="24"/>
          <w:szCs w:val="24"/>
          <w:vertAlign w:val="superscript"/>
        </w:rPr>
        <w:t>2</w:t>
      </w:r>
      <w:r w:rsidR="002B582B">
        <w:rPr>
          <w:rFonts w:eastAsia="楷体"/>
          <w:sz w:val="24"/>
          <w:szCs w:val="24"/>
        </w:rPr>
        <w:t>，</w:t>
      </w:r>
      <w:r>
        <w:rPr>
          <w:rFonts w:eastAsia="楷体" w:hint="eastAsia"/>
          <w:sz w:val="24"/>
          <w:szCs w:val="24"/>
        </w:rPr>
        <w:t>×××</w:t>
      </w:r>
      <w:r w:rsidR="002B582B">
        <w:rPr>
          <w:rFonts w:ascii="楷体" w:hAnsi="楷体"/>
          <w:sz w:val="24"/>
          <w:szCs w:val="24"/>
          <w:vertAlign w:val="superscript"/>
        </w:rPr>
        <w:t>1</w:t>
      </w:r>
      <w:r w:rsidR="002B582B">
        <w:rPr>
          <w:rFonts w:eastAsia="楷体"/>
          <w:sz w:val="24"/>
          <w:szCs w:val="24"/>
        </w:rPr>
        <w:t>，</w:t>
      </w:r>
      <w:r>
        <w:rPr>
          <w:rFonts w:eastAsia="楷体" w:hint="eastAsia"/>
          <w:sz w:val="24"/>
          <w:szCs w:val="24"/>
        </w:rPr>
        <w:t>×××</w:t>
      </w:r>
      <w:r w:rsidR="002B582B">
        <w:rPr>
          <w:rFonts w:ascii="楷体" w:hAnsi="楷体"/>
          <w:sz w:val="24"/>
          <w:szCs w:val="24"/>
          <w:vertAlign w:val="superscript"/>
        </w:rPr>
        <w:t>1</w:t>
      </w:r>
      <w:r w:rsidR="002B582B">
        <w:rPr>
          <w:rFonts w:eastAsia="楷体"/>
          <w:sz w:val="24"/>
          <w:szCs w:val="24"/>
        </w:rPr>
        <w:t>，</w:t>
      </w:r>
      <w:r>
        <w:rPr>
          <w:rFonts w:eastAsia="楷体" w:hint="eastAsia"/>
          <w:sz w:val="24"/>
          <w:szCs w:val="24"/>
        </w:rPr>
        <w:t>×××</w:t>
      </w:r>
      <w:r w:rsidR="002B582B">
        <w:rPr>
          <w:rFonts w:ascii="楷体" w:hAnsi="楷体"/>
          <w:sz w:val="24"/>
          <w:szCs w:val="24"/>
          <w:vertAlign w:val="superscript"/>
        </w:rPr>
        <w:t>1</w:t>
      </w:r>
      <w:r w:rsidR="002B582B">
        <w:rPr>
          <w:rFonts w:ascii="楷体" w:hAnsi="楷体"/>
          <w:sz w:val="24"/>
          <w:szCs w:val="24"/>
        </w:rPr>
        <w:t xml:space="preserve">  </w:t>
      </w:r>
    </w:p>
    <w:p w14:paraId="49C6433B" w14:textId="77777777" w:rsidR="009911A0" w:rsidRDefault="002B582B">
      <w:pPr>
        <w:pStyle w:val="Normalwrd1"/>
        <w:ind w:left="420" w:right="420"/>
        <w:jc w:val="center"/>
        <w:rPr>
          <w:rStyle w:val="af2"/>
          <w:sz w:val="18"/>
          <w:szCs w:val="18"/>
        </w:rPr>
      </w:pPr>
      <w:r>
        <w:rPr>
          <w:rStyle w:val="af2"/>
          <w:rFonts w:ascii="宋体" w:eastAsia="宋体" w:hAnsi="宋体"/>
          <w:sz w:val="18"/>
          <w:szCs w:val="18"/>
        </w:rPr>
        <w:t>（1.</w:t>
      </w:r>
      <w:r>
        <w:rPr>
          <w:rStyle w:val="af2"/>
          <w:sz w:val="18"/>
          <w:szCs w:val="18"/>
        </w:rPr>
        <w:t>火箭军工程大学，陕西</w:t>
      </w:r>
      <w:r>
        <w:rPr>
          <w:rStyle w:val="af2"/>
          <w:sz w:val="18"/>
          <w:szCs w:val="18"/>
        </w:rPr>
        <w:t xml:space="preserve"> </w:t>
      </w:r>
      <w:r>
        <w:rPr>
          <w:rStyle w:val="af2"/>
          <w:sz w:val="18"/>
          <w:szCs w:val="18"/>
        </w:rPr>
        <w:t>西安</w:t>
      </w:r>
      <w:r>
        <w:rPr>
          <w:rStyle w:val="af2"/>
          <w:sz w:val="18"/>
          <w:szCs w:val="18"/>
        </w:rPr>
        <w:t xml:space="preserve"> </w:t>
      </w:r>
      <w:r>
        <w:rPr>
          <w:rStyle w:val="af2"/>
          <w:rFonts w:ascii="宋体" w:eastAsia="宋体" w:hAnsi="宋体"/>
          <w:sz w:val="18"/>
          <w:szCs w:val="18"/>
        </w:rPr>
        <w:t>710025；</w:t>
      </w:r>
    </w:p>
    <w:p w14:paraId="560E092C" w14:textId="77777777" w:rsidR="009911A0" w:rsidRDefault="002B582B">
      <w:pPr>
        <w:pStyle w:val="Normalwrd1"/>
        <w:ind w:left="420" w:right="420"/>
        <w:jc w:val="center"/>
        <w:rPr>
          <w:rStyle w:val="af2"/>
          <w:sz w:val="18"/>
          <w:szCs w:val="18"/>
        </w:rPr>
      </w:pPr>
      <w:r>
        <w:rPr>
          <w:rStyle w:val="af2"/>
          <w:rFonts w:ascii="宋体" w:eastAsia="宋体" w:hAnsi="宋体"/>
          <w:sz w:val="18"/>
          <w:szCs w:val="18"/>
        </w:rPr>
        <w:t>2.</w:t>
      </w:r>
      <w:r>
        <w:rPr>
          <w:rStyle w:val="af2"/>
          <w:sz w:val="18"/>
          <w:szCs w:val="18"/>
        </w:rPr>
        <w:t>同济大学</w:t>
      </w:r>
      <w:r>
        <w:rPr>
          <w:rStyle w:val="af2"/>
          <w:sz w:val="18"/>
          <w:szCs w:val="18"/>
        </w:rPr>
        <w:t xml:space="preserve"> </w:t>
      </w:r>
      <w:r>
        <w:rPr>
          <w:rStyle w:val="af2"/>
          <w:sz w:val="18"/>
          <w:szCs w:val="18"/>
        </w:rPr>
        <w:t>土木工程防灾国家重点实验室，上海</w:t>
      </w:r>
      <w:r>
        <w:rPr>
          <w:rStyle w:val="af2"/>
          <w:sz w:val="18"/>
          <w:szCs w:val="18"/>
        </w:rPr>
        <w:t xml:space="preserve"> </w:t>
      </w:r>
      <w:r>
        <w:rPr>
          <w:rStyle w:val="af2"/>
          <w:rFonts w:ascii="宋体" w:eastAsia="宋体" w:hAnsi="宋体"/>
          <w:sz w:val="18"/>
          <w:szCs w:val="18"/>
        </w:rPr>
        <w:t>200092）</w:t>
      </w:r>
    </w:p>
    <w:p w14:paraId="7382B58C" w14:textId="77777777" w:rsidR="009911A0" w:rsidRDefault="009911A0">
      <w:pPr>
        <w:pStyle w:val="Normalwrd1"/>
        <w:ind w:left="420" w:right="420"/>
        <w:jc w:val="center"/>
        <w:rPr>
          <w:rStyle w:val="af2"/>
        </w:rPr>
      </w:pPr>
    </w:p>
    <w:p w14:paraId="787BB085" w14:textId="77777777" w:rsidR="009911A0" w:rsidRDefault="002B582B" w:rsidP="00A74AAF">
      <w:pPr>
        <w:pStyle w:val="Normalwrd1"/>
        <w:ind w:left="843" w:right="420" w:hangingChars="400" w:hanging="843"/>
      </w:pPr>
      <w:r>
        <w:rPr>
          <w:rFonts w:ascii="黑体" w:eastAsia="黑体" w:hAnsi="黑体"/>
          <w:b/>
        </w:rPr>
        <w:t>摘  要</w:t>
      </w:r>
      <w:r>
        <w:rPr>
          <w:rFonts w:ascii="黑体" w:eastAsia="黑体" w:hAnsi="黑体"/>
        </w:rPr>
        <w:t>：</w:t>
      </w:r>
      <w:r>
        <w:rPr>
          <w:rFonts w:ascii="仿宋" w:eastAsia="仿宋" w:hAnsi="仿宋"/>
        </w:rPr>
        <w:t>为获得数学形式简单、物理意义明确的土体非线性</w:t>
      </w:r>
      <w:proofErr w:type="gramStart"/>
      <w:r>
        <w:rPr>
          <w:rFonts w:ascii="仿宋" w:eastAsia="仿宋" w:hAnsi="仿宋"/>
        </w:rPr>
        <w:t>动力本构模型</w:t>
      </w:r>
      <w:proofErr w:type="gramEnd"/>
      <w:r>
        <w:rPr>
          <w:rFonts w:ascii="仿宋" w:eastAsia="仿宋" w:hAnsi="仿宋"/>
        </w:rPr>
        <w:t>并实现其数值应用，基于</w:t>
      </w:r>
      <w:r>
        <w:rPr>
          <w:rFonts w:ascii="方正科技符号" w:eastAsia="方正科技符号" w:hAnsi="方正科技符号"/>
        </w:rPr>
        <w:t>Logistic</w:t>
      </w:r>
      <w:r>
        <w:rPr>
          <w:rFonts w:ascii="仿宋" w:eastAsia="仿宋" w:hAnsi="仿宋"/>
        </w:rPr>
        <w:t>函数构造了一种新的土体</w:t>
      </w:r>
      <w:proofErr w:type="gramStart"/>
      <w:r>
        <w:rPr>
          <w:rFonts w:ascii="仿宋" w:eastAsia="仿宋" w:hAnsi="仿宋"/>
        </w:rPr>
        <w:t>动力本构模型</w:t>
      </w:r>
      <w:proofErr w:type="gramEnd"/>
      <w:r>
        <w:rPr>
          <w:rFonts w:ascii="仿宋" w:eastAsia="仿宋" w:hAnsi="仿宋"/>
        </w:rPr>
        <w:t>，利用典型软土动力试验数据验证了模型的有效性，并通过应力-</w:t>
      </w:r>
      <w:proofErr w:type="gramStart"/>
      <w:r>
        <w:rPr>
          <w:rFonts w:ascii="仿宋" w:eastAsia="仿宋" w:hAnsi="仿宋"/>
        </w:rPr>
        <w:t>应变滞回曲线</w:t>
      </w:r>
      <w:proofErr w:type="gramEnd"/>
      <w:r>
        <w:rPr>
          <w:rFonts w:ascii="仿宋" w:eastAsia="仿宋" w:hAnsi="仿宋"/>
        </w:rPr>
        <w:t>证明了该模型能正确反映土体非线性动力特性。推导了该模型在初始加载、卸载和再加载阶段的增量剪切模量的表达式，并将应力-应变关系推广到三维。利用</w:t>
      </w:r>
      <w:r>
        <w:rPr>
          <w:rFonts w:ascii="方正科技符号" w:eastAsia="方正科技符号" w:hAnsi="方正科技符号"/>
        </w:rPr>
        <w:t>ABAQUS</w:t>
      </w:r>
      <w:r>
        <w:rPr>
          <w:rFonts w:ascii="仿宋" w:eastAsia="仿宋" w:hAnsi="仿宋"/>
        </w:rPr>
        <w:t>的</w:t>
      </w:r>
      <w:r>
        <w:rPr>
          <w:rFonts w:ascii="方正科技符号" w:eastAsia="方正科技符号" w:hAnsi="方正科技符号"/>
        </w:rPr>
        <w:t>UMAT</w:t>
      </w:r>
      <w:r>
        <w:rPr>
          <w:rFonts w:ascii="仿宋" w:eastAsia="仿宋" w:hAnsi="仿宋"/>
        </w:rPr>
        <w:t>二次开发平台，编制了</w:t>
      </w:r>
      <w:r>
        <w:rPr>
          <w:rFonts w:ascii="方正科技符号" w:eastAsia="方正科技符号" w:hAnsi="方正科技符号"/>
        </w:rPr>
        <w:t>Logistic</w:t>
      </w:r>
      <w:proofErr w:type="gramStart"/>
      <w:r>
        <w:rPr>
          <w:rFonts w:ascii="仿宋" w:eastAsia="仿宋" w:hAnsi="仿宋"/>
        </w:rPr>
        <w:t>函数型土体</w:t>
      </w:r>
      <w:proofErr w:type="gramEnd"/>
      <w:r>
        <w:rPr>
          <w:rFonts w:ascii="仿宋" w:eastAsia="仿宋" w:hAnsi="仿宋"/>
        </w:rPr>
        <w:t>非线性</w:t>
      </w:r>
      <w:proofErr w:type="gramStart"/>
      <w:r>
        <w:rPr>
          <w:rFonts w:ascii="仿宋" w:eastAsia="仿宋" w:hAnsi="仿宋"/>
        </w:rPr>
        <w:t>动力本构模型</w:t>
      </w:r>
      <w:proofErr w:type="gramEnd"/>
      <w:r>
        <w:rPr>
          <w:rFonts w:ascii="仿宋" w:eastAsia="仿宋" w:hAnsi="仿宋"/>
        </w:rPr>
        <w:t>计算子程序，并验证了子程序的正确性。最后，以典型软土场地为例，对比分析了基于</w:t>
      </w:r>
      <w:r>
        <w:rPr>
          <w:rFonts w:ascii="方正科技符号" w:eastAsia="方正科技符号" w:hAnsi="方正科技符号"/>
        </w:rPr>
        <w:t>Logistic</w:t>
      </w:r>
      <w:proofErr w:type="gramStart"/>
      <w:r>
        <w:rPr>
          <w:rFonts w:ascii="仿宋" w:eastAsia="仿宋" w:hAnsi="仿宋"/>
        </w:rPr>
        <w:t>函数型土体动力本构模型</w:t>
      </w:r>
      <w:proofErr w:type="gramEnd"/>
      <w:r>
        <w:rPr>
          <w:rFonts w:ascii="仿宋" w:eastAsia="仿宋" w:hAnsi="仿宋"/>
        </w:rPr>
        <w:t>和</w:t>
      </w:r>
      <w:proofErr w:type="spellStart"/>
      <w:r>
        <w:rPr>
          <w:rFonts w:ascii="方正科技符号" w:eastAsia="方正科技符号" w:hAnsi="方正科技符号"/>
        </w:rPr>
        <w:t>Davidenkov</w:t>
      </w:r>
      <w:proofErr w:type="spellEnd"/>
      <w:r>
        <w:rPr>
          <w:rFonts w:ascii="仿宋" w:eastAsia="仿宋" w:hAnsi="仿宋"/>
        </w:rPr>
        <w:t>模型场地反应的计算结果。研究表明：本文的土体非线性</w:t>
      </w:r>
      <w:proofErr w:type="gramStart"/>
      <w:r>
        <w:rPr>
          <w:rFonts w:ascii="仿宋" w:eastAsia="仿宋" w:hAnsi="仿宋"/>
        </w:rPr>
        <w:t>动力本构模型</w:t>
      </w:r>
      <w:proofErr w:type="gramEnd"/>
      <w:r>
        <w:rPr>
          <w:rFonts w:ascii="仿宋" w:eastAsia="仿宋" w:hAnsi="仿宋"/>
        </w:rPr>
        <w:t>数学形式简单，骨架</w:t>
      </w:r>
      <w:proofErr w:type="gramStart"/>
      <w:r>
        <w:rPr>
          <w:rFonts w:ascii="仿宋" w:eastAsia="仿宋" w:hAnsi="仿宋"/>
        </w:rPr>
        <w:t>及滞回曲线</w:t>
      </w:r>
      <w:proofErr w:type="gramEnd"/>
      <w:r>
        <w:rPr>
          <w:rFonts w:ascii="仿宋" w:eastAsia="仿宋" w:hAnsi="仿宋"/>
        </w:rPr>
        <w:t>有统一的表达式，物理意义明确且自动满足</w:t>
      </w:r>
      <w:r>
        <w:rPr>
          <w:rFonts w:ascii="方正科技符号" w:eastAsia="方正科技符号" w:hAnsi="方正科技符号"/>
        </w:rPr>
        <w:t>Masing</w:t>
      </w:r>
      <w:r>
        <w:rPr>
          <w:rFonts w:ascii="仿宋" w:eastAsia="仿宋" w:hAnsi="仿宋"/>
        </w:rPr>
        <w:t>准则；本文模型能较好地拟合典型软土动力试验数据并能正确反映土体的非线性动力特性；基于</w:t>
      </w:r>
      <w:r>
        <w:rPr>
          <w:rFonts w:ascii="方正科技符号" w:eastAsia="方正科技符号" w:hAnsi="方正科技符号"/>
        </w:rPr>
        <w:t>UMAT</w:t>
      </w:r>
      <w:r>
        <w:rPr>
          <w:rFonts w:ascii="仿宋" w:eastAsia="仿宋" w:hAnsi="仿宋"/>
        </w:rPr>
        <w:t>实现了在</w:t>
      </w:r>
      <w:r>
        <w:rPr>
          <w:rFonts w:ascii="方正科技符号" w:eastAsia="方正科技符号" w:hAnsi="方正科技符号"/>
        </w:rPr>
        <w:t>ABAQUS</w:t>
      </w:r>
      <w:r>
        <w:rPr>
          <w:rFonts w:ascii="仿宋" w:eastAsia="仿宋" w:hAnsi="仿宋"/>
        </w:rPr>
        <w:t>软件中</w:t>
      </w:r>
      <w:r>
        <w:rPr>
          <w:rFonts w:ascii="方正科技符号" w:eastAsia="方正科技符号" w:hAnsi="方正科技符号"/>
        </w:rPr>
        <w:t>Logistic</w:t>
      </w:r>
      <w:proofErr w:type="gramStart"/>
      <w:r>
        <w:rPr>
          <w:rFonts w:ascii="仿宋" w:eastAsia="仿宋" w:hAnsi="仿宋"/>
        </w:rPr>
        <w:t>函数型土体</w:t>
      </w:r>
      <w:proofErr w:type="gramEnd"/>
      <w:r>
        <w:rPr>
          <w:rFonts w:ascii="仿宋" w:eastAsia="仿宋" w:hAnsi="仿宋"/>
        </w:rPr>
        <w:t>非线性</w:t>
      </w:r>
      <w:proofErr w:type="gramStart"/>
      <w:r>
        <w:rPr>
          <w:rFonts w:ascii="仿宋" w:eastAsia="仿宋" w:hAnsi="仿宋"/>
        </w:rPr>
        <w:t>动力本构模型</w:t>
      </w:r>
      <w:proofErr w:type="gramEnd"/>
      <w:r>
        <w:rPr>
          <w:rFonts w:ascii="仿宋" w:eastAsia="仿宋" w:hAnsi="仿宋"/>
        </w:rPr>
        <w:t>的数值应用；软土场地对长周期地震波的放大效应十分明显，基于本文模型计算得到的加速度响应峰值和相对位移响应峰值小于</w:t>
      </w:r>
      <w:proofErr w:type="spellStart"/>
      <w:r>
        <w:rPr>
          <w:rFonts w:ascii="方正科技符号" w:eastAsia="方正科技符号" w:hAnsi="方正科技符号"/>
        </w:rPr>
        <w:t>Davidenkov</w:t>
      </w:r>
      <w:proofErr w:type="spellEnd"/>
      <w:r>
        <w:rPr>
          <w:rFonts w:ascii="仿宋" w:eastAsia="仿宋" w:hAnsi="仿宋"/>
        </w:rPr>
        <w:t>模型的结果，相应的土体应力-</w:t>
      </w:r>
      <w:proofErr w:type="gramStart"/>
      <w:r>
        <w:rPr>
          <w:rFonts w:ascii="仿宋" w:eastAsia="仿宋" w:hAnsi="仿宋"/>
        </w:rPr>
        <w:t>应变滞回曲线</w:t>
      </w:r>
      <w:proofErr w:type="gramEnd"/>
      <w:r>
        <w:rPr>
          <w:rFonts w:ascii="仿宋" w:eastAsia="仿宋" w:hAnsi="仿宋"/>
        </w:rPr>
        <w:t>更符合实际情况。</w:t>
      </w:r>
      <w:r w:rsidRPr="00DC3581">
        <w:rPr>
          <w:color w:val="FFFFFF" w:themeColor="background1"/>
        </w:rPr>
        <w:footnoteReference w:id="1"/>
      </w:r>
    </w:p>
    <w:p w14:paraId="3C2FD77A" w14:textId="77777777" w:rsidR="009911A0" w:rsidRDefault="002B582B" w:rsidP="008F5CFF">
      <w:pPr>
        <w:pStyle w:val="Normalwrd1"/>
        <w:ind w:right="420"/>
      </w:pPr>
      <w:r>
        <w:rPr>
          <w:rFonts w:ascii="黑体" w:eastAsia="黑体" w:hAnsi="黑体"/>
          <w:b/>
        </w:rPr>
        <w:t>关键词：</w:t>
      </w:r>
      <w:r>
        <w:rPr>
          <w:rFonts w:ascii="黑体" w:eastAsia="黑体" w:hAnsi="黑体"/>
        </w:rPr>
        <w:t xml:space="preserve"> </w:t>
      </w:r>
      <w:r>
        <w:rPr>
          <w:rFonts w:ascii="方正仿宋_GBK" w:eastAsia="方正仿宋_GBK" w:hAnsi="方正仿宋_GBK"/>
        </w:rPr>
        <w:t>非线性</w:t>
      </w:r>
      <w:proofErr w:type="gramStart"/>
      <w:r>
        <w:rPr>
          <w:rFonts w:ascii="方正仿宋_GBK" w:eastAsia="方正仿宋_GBK" w:hAnsi="方正仿宋_GBK"/>
        </w:rPr>
        <w:t>动力本构模型</w:t>
      </w:r>
      <w:proofErr w:type="gramEnd"/>
      <w:r>
        <w:rPr>
          <w:rFonts w:ascii="方正仿宋_GBK" w:eastAsia="方正仿宋_GBK" w:hAnsi="方正仿宋_GBK"/>
        </w:rPr>
        <w:t>；</w:t>
      </w:r>
      <w:r>
        <w:rPr>
          <w:rFonts w:ascii="方正科技符号" w:eastAsia="方正科技符号" w:hAnsi="方正科技符号"/>
        </w:rPr>
        <w:t>Logistic</w:t>
      </w:r>
      <w:r>
        <w:rPr>
          <w:rFonts w:ascii="方正仿宋_GBK" w:eastAsia="方正仿宋_GBK" w:hAnsi="方正仿宋_GBK"/>
        </w:rPr>
        <w:t>函数；</w:t>
      </w:r>
      <w:r>
        <w:rPr>
          <w:rFonts w:ascii="方正科技符号" w:eastAsia="方正科技符号" w:hAnsi="方正科技符号"/>
        </w:rPr>
        <w:t>ABAQUS</w:t>
      </w:r>
      <w:r>
        <w:rPr>
          <w:rFonts w:ascii="方正仿宋_GBK" w:eastAsia="方正仿宋_GBK" w:hAnsi="方正仿宋_GBK"/>
        </w:rPr>
        <w:t>软件；二次开发；数值应用</w:t>
      </w:r>
    </w:p>
    <w:p w14:paraId="126A3239" w14:textId="77777777" w:rsidR="009911A0" w:rsidRDefault="002B582B" w:rsidP="008F5CFF">
      <w:pPr>
        <w:pStyle w:val="Normalwrd1"/>
        <w:ind w:right="420"/>
      </w:pPr>
      <w:r>
        <w:rPr>
          <w:rFonts w:ascii="黑体" w:eastAsia="黑体" w:hAnsi="黑体"/>
          <w:b/>
        </w:rPr>
        <w:t xml:space="preserve">中图分类号： </w:t>
      </w:r>
      <w:r>
        <w:rPr>
          <w:rFonts w:ascii="方正科技符号" w:eastAsia="方正科技符号" w:hAnsi="方正科技符号"/>
        </w:rPr>
        <w:t>TH</w:t>
      </w:r>
      <w:r>
        <w:t>212</w:t>
      </w:r>
      <w:r>
        <w:rPr>
          <w:rFonts w:ascii="方正仿宋_GBK" w:eastAsia="方正仿宋_GBK" w:hAnsi="方正仿宋_GBK"/>
        </w:rPr>
        <w:t>；</w:t>
      </w:r>
      <w:r>
        <w:rPr>
          <w:rFonts w:ascii="方正科技符号" w:eastAsia="方正科技符号" w:hAnsi="方正科技符号"/>
        </w:rPr>
        <w:t>TH</w:t>
      </w:r>
      <w:r>
        <w:t>213.3</w:t>
      </w:r>
      <w:r>
        <w:rPr>
          <w:rFonts w:ascii="宋体" w:hAnsi="宋体"/>
          <w:b/>
        </w:rPr>
        <w:t xml:space="preserve"> </w:t>
      </w:r>
      <w:r>
        <w:rPr>
          <w:rFonts w:ascii="宋体" w:hAnsi="宋体"/>
        </w:rPr>
        <w:t xml:space="preserve">       </w:t>
      </w:r>
      <w:r>
        <w:rPr>
          <w:rFonts w:ascii="黑体" w:eastAsia="黑体" w:hAnsi="黑体"/>
          <w:b/>
        </w:rPr>
        <w:t xml:space="preserve">文献标志码： </w:t>
      </w:r>
      <w:r>
        <w:rPr>
          <w:rFonts w:ascii="方正科技符号" w:eastAsia="方正科技符号" w:hAnsi="方正科技符号"/>
        </w:rPr>
        <w:t>A</w:t>
      </w:r>
    </w:p>
    <w:p w14:paraId="0F157274" w14:textId="77777777" w:rsidR="009911A0" w:rsidRDefault="009911A0" w:rsidP="002344C4">
      <w:pPr>
        <w:pStyle w:val="Normalwrd1"/>
        <w:ind w:left="420" w:right="420" w:firstLineChars="200" w:firstLine="420"/>
      </w:pPr>
    </w:p>
    <w:p w14:paraId="44D47307" w14:textId="77777777" w:rsidR="009911A0" w:rsidRDefault="002B582B">
      <w:pPr>
        <w:pStyle w:val="Normalwrd1"/>
        <w:ind w:left="420" w:right="420"/>
        <w:jc w:val="center"/>
        <w:rPr>
          <w:rFonts w:ascii="NEU-HZ" w:eastAsia="黑体" w:hAnsi="NEU-HZ"/>
          <w:sz w:val="28"/>
          <w:szCs w:val="28"/>
        </w:rPr>
      </w:pPr>
      <w:r>
        <w:rPr>
          <w:rFonts w:ascii="NEU-HZ" w:hAnsi="NEU-HZ"/>
          <w:sz w:val="28"/>
          <w:szCs w:val="28"/>
        </w:rPr>
        <w:t xml:space="preserve">Nonlinear Dynamic Constitutive </w:t>
      </w:r>
      <w:proofErr w:type="gramStart"/>
      <w:r>
        <w:rPr>
          <w:rFonts w:ascii="NEU-HZ" w:hAnsi="NEU-HZ"/>
          <w:sz w:val="28"/>
          <w:szCs w:val="28"/>
        </w:rPr>
        <w:t>Model  and</w:t>
      </w:r>
      <w:proofErr w:type="gramEnd"/>
      <w:r>
        <w:rPr>
          <w:rFonts w:ascii="NEU-HZ" w:hAnsi="NEU-HZ"/>
          <w:sz w:val="28"/>
          <w:szCs w:val="28"/>
        </w:rPr>
        <w:t xml:space="preserve"> Numerical Application </w:t>
      </w:r>
    </w:p>
    <w:p w14:paraId="254DB7CD" w14:textId="77777777" w:rsidR="009911A0" w:rsidRDefault="002B582B">
      <w:pPr>
        <w:pStyle w:val="Normalwrd1"/>
        <w:ind w:left="420" w:right="420"/>
        <w:jc w:val="center"/>
        <w:rPr>
          <w:rFonts w:ascii="NEU-HZ" w:eastAsia="黑体" w:hAnsi="NEU-HZ"/>
          <w:sz w:val="28"/>
          <w:szCs w:val="28"/>
        </w:rPr>
      </w:pPr>
      <w:r>
        <w:rPr>
          <w:rFonts w:ascii="NEU-HZ" w:hAnsi="NEU-HZ"/>
          <w:sz w:val="28"/>
          <w:szCs w:val="28"/>
        </w:rPr>
        <w:t>of Soil Based on Logistic Function</w:t>
      </w:r>
    </w:p>
    <w:p w14:paraId="3190E84C" w14:textId="77777777" w:rsidR="009911A0" w:rsidRDefault="009911A0">
      <w:pPr>
        <w:pStyle w:val="Normalwrd1"/>
        <w:ind w:left="420" w:right="420"/>
        <w:jc w:val="center"/>
      </w:pPr>
    </w:p>
    <w:p w14:paraId="1F2C87A0" w14:textId="77777777" w:rsidR="009911A0" w:rsidRDefault="002B582B">
      <w:pPr>
        <w:pStyle w:val="Normalwrd1"/>
        <w:ind w:left="420" w:right="420"/>
        <w:jc w:val="center"/>
        <w:rPr>
          <w:rFonts w:ascii="方正科技符号" w:eastAsia="方正科技符号" w:hAnsi="方正科技符号"/>
          <w:sz w:val="24"/>
          <w:szCs w:val="24"/>
        </w:rPr>
      </w:pPr>
      <w:r>
        <w:rPr>
          <w:rFonts w:ascii="方正科技符号" w:hAnsi="方正科技符号"/>
          <w:sz w:val="24"/>
          <w:szCs w:val="24"/>
        </w:rPr>
        <w:t>WANG Yanchao</w:t>
      </w:r>
      <w:r>
        <w:rPr>
          <w:rFonts w:ascii="方正科技符号" w:hAnsi="方正科技符号"/>
          <w:sz w:val="24"/>
          <w:szCs w:val="24"/>
          <w:vertAlign w:val="superscript"/>
        </w:rPr>
        <w:t>1</w:t>
      </w:r>
      <w:r>
        <w:rPr>
          <w:rFonts w:ascii="方正科技符号" w:hAnsi="方正科技符号"/>
          <w:sz w:val="24"/>
          <w:szCs w:val="24"/>
        </w:rPr>
        <w:t>, ZHAO Zhipeng</w:t>
      </w:r>
      <w:r>
        <w:rPr>
          <w:rFonts w:ascii="方正科技符号" w:hAnsi="方正科技符号"/>
          <w:sz w:val="24"/>
          <w:szCs w:val="24"/>
          <w:vertAlign w:val="superscript"/>
        </w:rPr>
        <w:t>2</w:t>
      </w:r>
      <w:r>
        <w:rPr>
          <w:rFonts w:ascii="方正科技符号" w:hAnsi="方正科技符号"/>
          <w:sz w:val="24"/>
          <w:szCs w:val="24"/>
        </w:rPr>
        <w:t>, GUO Jianfeng</w:t>
      </w:r>
      <w:r>
        <w:rPr>
          <w:rFonts w:ascii="方正科技符号" w:hAnsi="方正科技符号"/>
          <w:sz w:val="24"/>
          <w:szCs w:val="24"/>
          <w:vertAlign w:val="superscript"/>
        </w:rPr>
        <w:t>1</w:t>
      </w:r>
      <w:r>
        <w:rPr>
          <w:rFonts w:ascii="方正科技符号" w:hAnsi="方正科技符号"/>
          <w:sz w:val="24"/>
          <w:szCs w:val="24"/>
        </w:rPr>
        <w:t xml:space="preserve">, </w:t>
      </w:r>
    </w:p>
    <w:p w14:paraId="0A5BBAB4" w14:textId="77777777" w:rsidR="009911A0" w:rsidRDefault="002B582B">
      <w:pPr>
        <w:pStyle w:val="Normalwrd1"/>
        <w:ind w:left="420" w:right="420"/>
        <w:jc w:val="center"/>
        <w:rPr>
          <w:rFonts w:ascii="方正科技符号" w:eastAsia="方正科技符号" w:hAnsi="方正科技符号"/>
          <w:sz w:val="24"/>
          <w:szCs w:val="24"/>
        </w:rPr>
      </w:pPr>
      <w:r>
        <w:rPr>
          <w:rFonts w:ascii="方正科技符号" w:hAnsi="方正科技符号"/>
          <w:sz w:val="24"/>
          <w:szCs w:val="24"/>
        </w:rPr>
        <w:t>WANG Xinfeng</w:t>
      </w:r>
      <w:r>
        <w:rPr>
          <w:rFonts w:ascii="方正科技符号" w:hAnsi="方正科技符号"/>
          <w:sz w:val="24"/>
          <w:szCs w:val="24"/>
          <w:vertAlign w:val="superscript"/>
        </w:rPr>
        <w:t>1</w:t>
      </w:r>
      <w:r>
        <w:rPr>
          <w:rFonts w:ascii="方正科技符号" w:hAnsi="方正科技符号"/>
          <w:sz w:val="24"/>
          <w:szCs w:val="24"/>
        </w:rPr>
        <w:t>, HE Panli</w:t>
      </w:r>
      <w:r>
        <w:rPr>
          <w:rFonts w:ascii="方正科技符号" w:hAnsi="方正科技符号"/>
          <w:sz w:val="24"/>
          <w:szCs w:val="24"/>
          <w:vertAlign w:val="superscript"/>
        </w:rPr>
        <w:t>1</w:t>
      </w:r>
    </w:p>
    <w:p w14:paraId="7C1639FE" w14:textId="77777777" w:rsidR="009911A0" w:rsidRDefault="002B582B">
      <w:pPr>
        <w:pStyle w:val="Normalwrd1"/>
        <w:ind w:left="420" w:right="420"/>
        <w:jc w:val="center"/>
        <w:rPr>
          <w:rFonts w:ascii="NEU-BZ" w:hAnsi="NEU-BZ"/>
          <w:sz w:val="18"/>
          <w:szCs w:val="18"/>
        </w:rPr>
      </w:pPr>
      <w:r>
        <w:rPr>
          <w:rStyle w:val="af2"/>
          <w:rFonts w:ascii="宋体" w:eastAsia="宋体" w:hAnsi="宋体"/>
          <w:sz w:val="18"/>
          <w:szCs w:val="18"/>
        </w:rPr>
        <w:t>（1.</w:t>
      </w:r>
      <w:r>
        <w:rPr>
          <w:rFonts w:ascii="方正科技符号" w:eastAsia="方正科技符号" w:hAnsi="方正科技符号"/>
          <w:sz w:val="18"/>
          <w:szCs w:val="18"/>
        </w:rPr>
        <w:t>Basic Disciplinary Department, Rocket Force University of Engineering</w:t>
      </w:r>
      <w:r>
        <w:rPr>
          <w:rFonts w:ascii="NEU-BZ" w:hAnsi="NEU-BZ"/>
          <w:sz w:val="18"/>
          <w:szCs w:val="18"/>
        </w:rPr>
        <w:t>，</w:t>
      </w:r>
      <w:r>
        <w:rPr>
          <w:rFonts w:ascii="方正科技符号" w:eastAsia="方正科技符号" w:hAnsi="方正科技符号"/>
          <w:sz w:val="18"/>
          <w:szCs w:val="18"/>
        </w:rPr>
        <w:t>Xi</w:t>
      </w:r>
      <w:proofErr w:type="gramStart"/>
      <w:r>
        <w:rPr>
          <w:sz w:val="18"/>
          <w:szCs w:val="18"/>
        </w:rPr>
        <w:t>’</w:t>
      </w:r>
      <w:proofErr w:type="gramEnd"/>
      <w:r>
        <w:rPr>
          <w:rFonts w:ascii="方正科技符号" w:eastAsia="方正科技符号" w:hAnsi="方正科技符号"/>
          <w:sz w:val="18"/>
          <w:szCs w:val="18"/>
        </w:rPr>
        <w:t>an</w:t>
      </w:r>
      <w:r>
        <w:rPr>
          <w:rFonts w:ascii="NEU-BZ" w:hAnsi="NEU-BZ"/>
          <w:sz w:val="18"/>
          <w:szCs w:val="18"/>
        </w:rPr>
        <w:t xml:space="preserve"> </w:t>
      </w:r>
      <w:r>
        <w:rPr>
          <w:rFonts w:ascii="宋体" w:hAnsi="宋体"/>
          <w:sz w:val="18"/>
          <w:szCs w:val="18"/>
        </w:rPr>
        <w:t>710025</w:t>
      </w:r>
      <w:r>
        <w:rPr>
          <w:rFonts w:ascii="NEU-BZ" w:hAnsi="NEU-BZ"/>
          <w:sz w:val="18"/>
          <w:szCs w:val="18"/>
        </w:rPr>
        <w:t>，</w:t>
      </w:r>
      <w:r>
        <w:rPr>
          <w:rFonts w:ascii="方正科技符号" w:eastAsia="方正科技符号" w:hAnsi="方正科技符号"/>
          <w:sz w:val="18"/>
          <w:szCs w:val="18"/>
        </w:rPr>
        <w:t>Shaanxi</w:t>
      </w:r>
      <w:r>
        <w:rPr>
          <w:rFonts w:ascii="宋体" w:hAnsi="宋体"/>
          <w:sz w:val="18"/>
          <w:szCs w:val="18"/>
        </w:rPr>
        <w:t>；</w:t>
      </w:r>
    </w:p>
    <w:p w14:paraId="7BBBC4B9" w14:textId="77777777" w:rsidR="009911A0" w:rsidRDefault="002B582B">
      <w:pPr>
        <w:pStyle w:val="Normalwrd1"/>
        <w:ind w:left="420" w:right="420"/>
        <w:jc w:val="center"/>
        <w:rPr>
          <w:rFonts w:ascii="NEU-BZ" w:hAnsi="NEU-BZ"/>
          <w:sz w:val="18"/>
          <w:szCs w:val="18"/>
        </w:rPr>
      </w:pPr>
      <w:r>
        <w:rPr>
          <w:rStyle w:val="af2"/>
          <w:rFonts w:ascii="宋体" w:eastAsia="宋体" w:hAnsi="宋体"/>
          <w:sz w:val="18"/>
          <w:szCs w:val="18"/>
        </w:rPr>
        <w:t>2.</w:t>
      </w:r>
      <w:r>
        <w:rPr>
          <w:rFonts w:ascii="方正科技符号" w:eastAsia="方正科技符号" w:hAnsi="方正科技符号"/>
          <w:sz w:val="18"/>
          <w:szCs w:val="18"/>
        </w:rPr>
        <w:t>State Key Laboratory of Disaster Reduction in Civil Engineering</w:t>
      </w:r>
      <w:r>
        <w:rPr>
          <w:rFonts w:ascii="NEU-BZ" w:hAnsi="NEU-BZ"/>
          <w:sz w:val="18"/>
          <w:szCs w:val="18"/>
        </w:rPr>
        <w:t>，</w:t>
      </w:r>
      <w:r>
        <w:rPr>
          <w:rFonts w:ascii="方正科技符号" w:eastAsia="方正科技符号" w:hAnsi="方正科技符号"/>
          <w:sz w:val="18"/>
          <w:szCs w:val="18"/>
        </w:rPr>
        <w:t>Tongji University</w:t>
      </w:r>
      <w:r>
        <w:rPr>
          <w:rFonts w:ascii="NEU-BZ" w:hAnsi="NEU-BZ"/>
          <w:sz w:val="18"/>
          <w:szCs w:val="18"/>
        </w:rPr>
        <w:t>，</w:t>
      </w:r>
      <w:r>
        <w:rPr>
          <w:rFonts w:ascii="方正科技符号" w:eastAsia="方正科技符号" w:hAnsi="方正科技符号"/>
          <w:sz w:val="18"/>
          <w:szCs w:val="18"/>
        </w:rPr>
        <w:t xml:space="preserve">Shanghai </w:t>
      </w:r>
      <w:r>
        <w:rPr>
          <w:rFonts w:ascii="宋体" w:hAnsi="宋体"/>
          <w:sz w:val="18"/>
          <w:szCs w:val="18"/>
        </w:rPr>
        <w:t>200092</w:t>
      </w:r>
      <w:r>
        <w:rPr>
          <w:rStyle w:val="af2"/>
          <w:rFonts w:ascii="宋体" w:eastAsia="宋体" w:hAnsi="宋体"/>
          <w:sz w:val="18"/>
          <w:szCs w:val="18"/>
        </w:rPr>
        <w:t>）</w:t>
      </w:r>
    </w:p>
    <w:p w14:paraId="6D76EC5C" w14:textId="77777777" w:rsidR="009911A0" w:rsidRDefault="009911A0">
      <w:pPr>
        <w:pStyle w:val="Normalwrd1"/>
        <w:ind w:left="420" w:right="420"/>
        <w:jc w:val="center"/>
      </w:pPr>
    </w:p>
    <w:p w14:paraId="065668B5" w14:textId="77777777" w:rsidR="009911A0" w:rsidRDefault="002B582B" w:rsidP="008F5CFF">
      <w:pPr>
        <w:pStyle w:val="Normalwrd1"/>
        <w:ind w:left="420" w:right="420"/>
        <w:jc w:val="both"/>
        <w:rPr>
          <w:rFonts w:ascii="Cambria" w:hAnsi="Cambria"/>
        </w:rPr>
      </w:pPr>
      <w:r>
        <w:rPr>
          <w:rFonts w:ascii="NEU-HZ" w:hAnsi="NEU-HZ"/>
        </w:rPr>
        <w:lastRenderedPageBreak/>
        <w:t xml:space="preserve">ABSTRACT: </w:t>
      </w:r>
      <w:r>
        <w:t xml:space="preserve"> </w:t>
      </w:r>
      <w:r>
        <w:rPr>
          <w:rFonts w:ascii="方正科技符号" w:eastAsia="方正科技符号" w:hAnsi="方正科技符号"/>
        </w:rPr>
        <w:t>To obtain a nonlinear dynamic constitutive model of soil with a simple form and a clear physical meaning and realize its numerical application, a new dynamic constitutive model based on Logistic function was proposed. First, the validity of the proposed model was verified by the dynamic experimental data of typical soft soil. Then, the stress</w:t>
      </w:r>
      <w:r>
        <w:rPr>
          <w:rFonts w:ascii="宋体" w:hAnsi="宋体"/>
        </w:rPr>
        <w:t>-</w:t>
      </w:r>
      <w:r>
        <w:rPr>
          <w:rFonts w:ascii="方正科技符号" w:eastAsia="方正科技符号" w:hAnsi="方正科技符号"/>
        </w:rPr>
        <w:t>strain hysteresis curves proved that the model can correctly reflect the nonlinear dynamic characteristics of soil. Furthermore, the expression of the incremental shear modulus of the novel model in stages of initial loading, unloading and reloading were derived, and the stress</w:t>
      </w:r>
      <w:r>
        <w:rPr>
          <w:rFonts w:ascii="宋体" w:hAnsi="宋体"/>
        </w:rPr>
        <w:t>-</w:t>
      </w:r>
      <w:r>
        <w:rPr>
          <w:rFonts w:ascii="方正科技符号" w:eastAsia="方正科技符号" w:hAnsi="方正科技符号"/>
        </w:rPr>
        <w:t>strain relationship was extended to three dimensions. Additionally, the subroutine of the Logistic function</w:t>
      </w:r>
      <w:r>
        <w:rPr>
          <w:rFonts w:ascii="宋体" w:hAnsi="宋体"/>
        </w:rPr>
        <w:t>-</w:t>
      </w:r>
      <w:r>
        <w:rPr>
          <w:rFonts w:ascii="方正科技符号" w:eastAsia="方正科技符号" w:hAnsi="方正科技符号"/>
        </w:rPr>
        <w:t xml:space="preserve">based nonlinear dynamic constitutive soil model was compiled and verified by the secondary development platform UMAT provided by ABAQUS. The calculation results of a typical soft soil site obtained by the </w:t>
      </w:r>
      <w:proofErr w:type="spellStart"/>
      <w:r>
        <w:rPr>
          <w:rFonts w:ascii="方正科技符号" w:eastAsia="方正科技符号" w:hAnsi="方正科技符号"/>
        </w:rPr>
        <w:t>Logisticbased</w:t>
      </w:r>
      <w:proofErr w:type="spellEnd"/>
      <w:r>
        <w:rPr>
          <w:rFonts w:ascii="方正科技符号" w:eastAsia="方正科技符号" w:hAnsi="方正科技符号"/>
        </w:rPr>
        <w:t xml:space="preserve"> model and the </w:t>
      </w:r>
      <w:proofErr w:type="spellStart"/>
      <w:r>
        <w:rPr>
          <w:rFonts w:ascii="方正科技符号" w:eastAsia="方正科技符号" w:hAnsi="方正科技符号"/>
        </w:rPr>
        <w:t>Davidenkov</w:t>
      </w:r>
      <w:proofErr w:type="spellEnd"/>
      <w:r>
        <w:rPr>
          <w:rFonts w:ascii="方正科技符号" w:eastAsia="方正科技符号" w:hAnsi="方正科技符号"/>
        </w:rPr>
        <w:t xml:space="preserve"> model were compared. Results showed that the proposed model has a simple form, </w:t>
      </w:r>
      <w:proofErr w:type="gramStart"/>
      <w:r>
        <w:rPr>
          <w:rFonts w:ascii="方正科技符号" w:eastAsia="方正科技符号" w:hAnsi="方正科技符号"/>
        </w:rPr>
        <w:t>an</w:t>
      </w:r>
      <w:proofErr w:type="gramEnd"/>
      <w:r>
        <w:rPr>
          <w:rFonts w:ascii="方正科技符号" w:eastAsia="方正科技符号" w:hAnsi="方正科技符号"/>
        </w:rPr>
        <w:t xml:space="preserve"> uniform expression on the framework and the hysteresis curve and clear physical meaning and can automatically satisfy the Masing criterion. The Logistic</w:t>
      </w:r>
      <w:r>
        <w:rPr>
          <w:rFonts w:ascii="宋体" w:hAnsi="宋体"/>
        </w:rPr>
        <w:t>-</w:t>
      </w:r>
      <w:r>
        <w:rPr>
          <w:rFonts w:ascii="方正科技符号" w:eastAsia="方正科技符号" w:hAnsi="方正科技符号"/>
        </w:rPr>
        <w:t>based model can fit the dynamic experimental data of typical soft soil well and correctly reflect the nonlinear dynamic characteristics of soil. Based on UMAT, the numerical application of Logistic model could be realized in ABAQUS software. The acceleration response peak and the relative displacement response peak calculated by the Logistic</w:t>
      </w:r>
      <w:r>
        <w:rPr>
          <w:rFonts w:ascii="宋体" w:hAnsi="宋体"/>
        </w:rPr>
        <w:t>-</w:t>
      </w:r>
      <w:r>
        <w:rPr>
          <w:rFonts w:ascii="方正科技符号" w:eastAsia="方正科技符号" w:hAnsi="方正科技符号"/>
        </w:rPr>
        <w:t xml:space="preserve">based model are smaller than those obtained by the </w:t>
      </w:r>
      <w:proofErr w:type="spellStart"/>
      <w:r>
        <w:rPr>
          <w:rFonts w:ascii="方正科技符号" w:eastAsia="方正科技符号" w:hAnsi="方正科技符号"/>
        </w:rPr>
        <w:t>Davidenkov</w:t>
      </w:r>
      <w:proofErr w:type="spellEnd"/>
      <w:r>
        <w:rPr>
          <w:rFonts w:ascii="方正科技符号" w:eastAsia="方正科技符号" w:hAnsi="方正科技符号"/>
        </w:rPr>
        <w:t xml:space="preserve"> model. The stress</w:t>
      </w:r>
      <w:r>
        <w:rPr>
          <w:rFonts w:ascii="宋体" w:hAnsi="宋体"/>
        </w:rPr>
        <w:t>-</w:t>
      </w:r>
      <w:r>
        <w:rPr>
          <w:rFonts w:ascii="方正科技符号" w:eastAsia="方正科技符号" w:hAnsi="方正科技符号"/>
        </w:rPr>
        <w:t xml:space="preserve">strain hysteresis curves of soil based on Logistic model are more in line with the actual situation that the soft soil has an obvious amplification effect on the </w:t>
      </w:r>
      <w:proofErr w:type="spellStart"/>
      <w:r>
        <w:rPr>
          <w:rFonts w:ascii="方正科技符号" w:eastAsia="方正科技符号" w:hAnsi="方正科技符号"/>
        </w:rPr>
        <w:t>longperiod</w:t>
      </w:r>
      <w:proofErr w:type="spellEnd"/>
      <w:r>
        <w:rPr>
          <w:rFonts w:ascii="方正科技符号" w:eastAsia="方正科技符号" w:hAnsi="方正科技符号"/>
        </w:rPr>
        <w:t xml:space="preserve"> seismic wave.</w:t>
      </w:r>
    </w:p>
    <w:p w14:paraId="3BFB8ECB" w14:textId="77777777" w:rsidR="009911A0" w:rsidRDefault="002B582B" w:rsidP="00601B2E">
      <w:pPr>
        <w:pStyle w:val="Normalwrd1"/>
        <w:ind w:leftChars="192" w:left="1787" w:hangingChars="650" w:hanging="1365"/>
        <w:rPr>
          <w:rFonts w:ascii="Cambria" w:hAnsi="Cambria"/>
        </w:rPr>
      </w:pPr>
      <w:r>
        <w:rPr>
          <w:rFonts w:ascii="NEU-HZ" w:hAnsi="NEU-HZ"/>
        </w:rPr>
        <w:t>KEYWORDS:</w:t>
      </w:r>
      <w:r>
        <w:rPr>
          <w:rFonts w:ascii="Cambria" w:hAnsi="Cambria"/>
        </w:rPr>
        <w:t xml:space="preserve"> </w:t>
      </w:r>
      <w:r>
        <w:t xml:space="preserve"> </w:t>
      </w:r>
      <w:r>
        <w:rPr>
          <w:rFonts w:ascii="方正科技符号" w:eastAsia="方正科技符号" w:hAnsi="方正科技符号"/>
        </w:rPr>
        <w:t>nonlinear dynamic constitutive model</w:t>
      </w:r>
      <w:r w:rsidR="0050586C">
        <w:rPr>
          <w:rFonts w:ascii="宋体" w:hAnsi="宋体" w:cs="宋体" w:hint="eastAsia"/>
        </w:rPr>
        <w:t>；</w:t>
      </w:r>
      <w:r>
        <w:rPr>
          <w:rFonts w:ascii="方正科技符号" w:eastAsia="方正科技符号" w:hAnsi="方正科技符号"/>
        </w:rPr>
        <w:t>Logistic function</w:t>
      </w:r>
      <w:r w:rsidR="0050586C">
        <w:rPr>
          <w:rFonts w:ascii="宋体" w:hAnsi="宋体" w:cs="宋体" w:hint="eastAsia"/>
        </w:rPr>
        <w:t>；</w:t>
      </w:r>
      <w:r>
        <w:rPr>
          <w:rFonts w:ascii="方正科技符号" w:eastAsia="方正科技符号" w:hAnsi="方正科技符号"/>
        </w:rPr>
        <w:t>ABAQUS software</w:t>
      </w:r>
      <w:r w:rsidR="0050586C">
        <w:rPr>
          <w:rFonts w:ascii="宋体" w:hAnsi="宋体" w:cs="宋体" w:hint="eastAsia"/>
        </w:rPr>
        <w:t>；</w:t>
      </w:r>
      <w:r>
        <w:rPr>
          <w:rFonts w:ascii="方正科技符号" w:eastAsia="方正科技符号" w:hAnsi="方正科技符号"/>
        </w:rPr>
        <w:t>secondary development</w:t>
      </w:r>
      <w:r w:rsidR="0050586C">
        <w:rPr>
          <w:rFonts w:ascii="宋体" w:hAnsi="宋体" w:cs="宋体" w:hint="eastAsia"/>
        </w:rPr>
        <w:t>；</w:t>
      </w:r>
      <w:r>
        <w:rPr>
          <w:rFonts w:ascii="方正科技符号" w:eastAsia="方正科技符号" w:hAnsi="方正科技符号"/>
        </w:rPr>
        <w:t>numerical application</w:t>
      </w:r>
    </w:p>
    <w:p w14:paraId="3CA1CD93" w14:textId="77777777" w:rsidR="009911A0" w:rsidRDefault="009911A0" w:rsidP="002344C4">
      <w:pPr>
        <w:pStyle w:val="Normalwrd1"/>
        <w:ind w:left="420" w:right="420" w:hangingChars="200" w:hanging="420"/>
        <w:rPr>
          <w:rFonts w:ascii="Cambria" w:hAnsi="Cambria"/>
        </w:rPr>
      </w:pPr>
    </w:p>
    <w:p w14:paraId="2658535A" w14:textId="77777777" w:rsidR="009911A0" w:rsidRDefault="002B582B">
      <w:pPr>
        <w:pStyle w:val="Normalwrd1"/>
        <w:rPr>
          <w:rStyle w:val="af2"/>
        </w:rPr>
      </w:pPr>
      <w:r>
        <w:rPr>
          <w:rStyle w:val="af2"/>
        </w:rPr>
        <w:t xml:space="preserve">        </w:t>
      </w:r>
      <w:r>
        <w:rPr>
          <w:rStyle w:val="af2"/>
        </w:rPr>
        <w:t>在土层及土</w:t>
      </w:r>
      <w:r>
        <w:rPr>
          <w:rStyle w:val="af2"/>
          <w:rFonts w:ascii="宋体" w:eastAsia="宋体" w:hAnsi="宋体"/>
        </w:rPr>
        <w:t>-</w:t>
      </w:r>
      <w:r>
        <w:rPr>
          <w:rStyle w:val="af2"/>
        </w:rPr>
        <w:t>地下结构相互作用地震反应分析中，土体的非线性是必须考虑的内容。众所周知，土体是一种非线性很强的材料，在地震作用下，其应力</w:t>
      </w:r>
      <w:r>
        <w:rPr>
          <w:rStyle w:val="af2"/>
          <w:rFonts w:ascii="宋体" w:eastAsia="宋体" w:hAnsi="宋体"/>
        </w:rPr>
        <w:t>-</w:t>
      </w:r>
      <w:r>
        <w:rPr>
          <w:rStyle w:val="af2"/>
        </w:rPr>
        <w:t>应变关系几乎不存在线性阶段，而是表现出明显的非线性、滞后性及变形累积的特性</w:t>
      </w:r>
      <w:r w:rsidRPr="00506890">
        <w:rPr>
          <w:rStyle w:val="af2"/>
          <w:rFonts w:ascii="宋体" w:eastAsia="宋体" w:hAnsi="宋体"/>
          <w:vertAlign w:val="superscript"/>
        </w:rPr>
        <w:t>[</w:t>
      </w:r>
      <w:r w:rsidRPr="00506890">
        <w:rPr>
          <w:rStyle w:val="af2"/>
          <w:vertAlign w:val="superscript"/>
        </w:rPr>
        <w:t>1-2</w:t>
      </w:r>
      <w:r w:rsidRPr="00506890">
        <w:rPr>
          <w:rStyle w:val="af2"/>
          <w:rFonts w:ascii="宋体" w:eastAsia="宋体" w:hAnsi="宋体"/>
          <w:vertAlign w:val="superscript"/>
        </w:rPr>
        <w:t>]</w:t>
      </w:r>
      <w:r>
        <w:rPr>
          <w:rStyle w:val="af2"/>
        </w:rPr>
        <w:t>。因此，寻找一种合适的土体</w:t>
      </w:r>
      <w:proofErr w:type="gramStart"/>
      <w:r>
        <w:rPr>
          <w:rStyle w:val="af2"/>
        </w:rPr>
        <w:t>动力本构模型</w:t>
      </w:r>
      <w:proofErr w:type="gramEnd"/>
      <w:r>
        <w:rPr>
          <w:rStyle w:val="af2"/>
        </w:rPr>
        <w:t>来对动荷载作用下土体的应力</w:t>
      </w:r>
      <w:r>
        <w:rPr>
          <w:rStyle w:val="af2"/>
          <w:rFonts w:ascii="宋体" w:eastAsia="宋体" w:hAnsi="宋体"/>
        </w:rPr>
        <w:t>-</w:t>
      </w:r>
      <w:r>
        <w:rPr>
          <w:rStyle w:val="af2"/>
        </w:rPr>
        <w:t>应变关系进行正确描述一直是研究者们所关注的热点问题。</w:t>
      </w:r>
    </w:p>
    <w:p w14:paraId="25825A18" w14:textId="77777777" w:rsidR="009911A0" w:rsidRDefault="002B582B">
      <w:pPr>
        <w:pStyle w:val="Normalwrd1"/>
        <w:rPr>
          <w:rStyle w:val="af2"/>
        </w:rPr>
      </w:pPr>
      <w:r>
        <w:rPr>
          <w:rStyle w:val="af2"/>
        </w:rPr>
        <w:t xml:space="preserve">        </w:t>
      </w:r>
      <w:r>
        <w:rPr>
          <w:rStyle w:val="af2"/>
        </w:rPr>
        <w:t>目前，对土体动力非线性行为进行描述的方法主要包括等效线性化方法和真非线性方法。其中，等效线性化方法</w:t>
      </w:r>
      <w:r>
        <w:rPr>
          <w:rStyle w:val="af2"/>
          <w:rFonts w:ascii="宋体" w:eastAsia="宋体" w:hAnsi="宋体"/>
          <w:vertAlign w:val="superscript"/>
        </w:rPr>
        <w:t>[</w:t>
      </w:r>
      <w:r>
        <w:rPr>
          <w:rStyle w:val="af2"/>
          <w:vertAlign w:val="superscript"/>
        </w:rPr>
        <w:t>3-4</w:t>
      </w:r>
      <w:r>
        <w:rPr>
          <w:rStyle w:val="af2"/>
          <w:rFonts w:ascii="宋体" w:eastAsia="宋体" w:hAnsi="宋体"/>
          <w:vertAlign w:val="superscript"/>
        </w:rPr>
        <w:t>]</w:t>
      </w:r>
      <w:r>
        <w:rPr>
          <w:rStyle w:val="af2"/>
        </w:rPr>
        <w:t>形式简单直观，计算量少，但由于不能计算土体的永久变形，所有具有在强震动时的计算结果误差大且容易产生</w:t>
      </w:r>
      <w:r>
        <w:rPr>
          <w:rStyle w:val="af2"/>
        </w:rPr>
        <w:t>“</w:t>
      </w:r>
      <w:r>
        <w:rPr>
          <w:rStyle w:val="af2"/>
        </w:rPr>
        <w:t>虚共振</w:t>
      </w:r>
      <w:r>
        <w:rPr>
          <w:rStyle w:val="af2"/>
        </w:rPr>
        <w:t>”</w:t>
      </w:r>
      <w:r>
        <w:rPr>
          <w:rStyle w:val="af2"/>
        </w:rPr>
        <w:t>现象等缺点</w:t>
      </w:r>
      <w:r>
        <w:rPr>
          <w:rStyle w:val="af2"/>
          <w:rFonts w:ascii="宋体" w:eastAsia="宋体" w:hAnsi="宋体"/>
          <w:vertAlign w:val="superscript"/>
        </w:rPr>
        <w:t>[</w:t>
      </w:r>
      <w:r>
        <w:rPr>
          <w:rStyle w:val="af2"/>
          <w:vertAlign w:val="superscript"/>
        </w:rPr>
        <w:t>5</w:t>
      </w:r>
      <w:r>
        <w:rPr>
          <w:rStyle w:val="af2"/>
          <w:rFonts w:ascii="宋体" w:eastAsia="宋体" w:hAnsi="宋体"/>
          <w:vertAlign w:val="superscript"/>
        </w:rPr>
        <w:t>]</w:t>
      </w:r>
      <w:r>
        <w:rPr>
          <w:rStyle w:val="af2"/>
        </w:rPr>
        <w:t>，制约其进一步发展。真非线性方法通过非线性</w:t>
      </w:r>
      <w:proofErr w:type="gramStart"/>
      <w:r>
        <w:rPr>
          <w:rStyle w:val="af2"/>
        </w:rPr>
        <w:t>滞回本构来</w:t>
      </w:r>
      <w:proofErr w:type="gramEnd"/>
      <w:r>
        <w:rPr>
          <w:rStyle w:val="af2"/>
        </w:rPr>
        <w:t>描述土体的动力特性，能够较好地模拟土体在动力荷载作用下的应力</w:t>
      </w:r>
      <w:r>
        <w:rPr>
          <w:rStyle w:val="af2"/>
          <w:rFonts w:ascii="宋体" w:eastAsia="宋体" w:hAnsi="宋体"/>
        </w:rPr>
        <w:t>-</w:t>
      </w:r>
      <w:r>
        <w:rPr>
          <w:rStyle w:val="af2"/>
        </w:rPr>
        <w:t>应变关系。其中，最为经典</w:t>
      </w:r>
      <w:proofErr w:type="gramStart"/>
      <w:r>
        <w:rPr>
          <w:rStyle w:val="af2"/>
        </w:rPr>
        <w:t>的本构模型</w:t>
      </w:r>
      <w:proofErr w:type="gramEnd"/>
      <w:r>
        <w:rPr>
          <w:rStyle w:val="af2"/>
        </w:rPr>
        <w:t>为双曲线模型</w:t>
      </w:r>
      <w:r>
        <w:rPr>
          <w:rStyle w:val="af2"/>
          <w:rFonts w:ascii="宋体" w:eastAsia="宋体" w:hAnsi="宋体"/>
          <w:vertAlign w:val="superscript"/>
        </w:rPr>
        <w:t>[</w:t>
      </w:r>
      <w:r>
        <w:rPr>
          <w:rStyle w:val="af2"/>
          <w:vertAlign w:val="superscript"/>
        </w:rPr>
        <w:t>6-7</w:t>
      </w:r>
      <w:r>
        <w:rPr>
          <w:rStyle w:val="af2"/>
          <w:rFonts w:ascii="宋体" w:eastAsia="宋体" w:hAnsi="宋体"/>
          <w:vertAlign w:val="superscript"/>
        </w:rPr>
        <w:t>]</w:t>
      </w:r>
      <w:r>
        <w:rPr>
          <w:rStyle w:val="af2"/>
        </w:rPr>
        <w:t>，该模型是以双曲线函数来表示土体应力</w:t>
      </w:r>
      <w:r>
        <w:rPr>
          <w:rStyle w:val="af2"/>
          <w:rFonts w:ascii="宋体" w:eastAsia="宋体" w:hAnsi="宋体"/>
        </w:rPr>
        <w:t>-</w:t>
      </w:r>
      <w:r>
        <w:rPr>
          <w:rStyle w:val="af2"/>
        </w:rPr>
        <w:t>应变关系的骨架曲线。在此基础上，一些学者提出了各种更为复杂的带有不同经验拟合参数的土体</w:t>
      </w:r>
      <w:proofErr w:type="gramStart"/>
      <w:r>
        <w:rPr>
          <w:rStyle w:val="af2"/>
        </w:rPr>
        <w:t>动力本构模型</w:t>
      </w:r>
      <w:proofErr w:type="gramEnd"/>
      <w:r>
        <w:rPr>
          <w:rStyle w:val="af2"/>
          <w:rFonts w:ascii="宋体" w:eastAsia="宋体" w:hAnsi="宋体"/>
          <w:vertAlign w:val="superscript"/>
        </w:rPr>
        <w:t>[</w:t>
      </w:r>
      <w:r>
        <w:rPr>
          <w:rStyle w:val="af2"/>
          <w:vertAlign w:val="superscript"/>
        </w:rPr>
        <w:t>8-9</w:t>
      </w:r>
      <w:r>
        <w:rPr>
          <w:rStyle w:val="af2"/>
          <w:rFonts w:ascii="宋体" w:eastAsia="宋体" w:hAnsi="宋体"/>
          <w:vertAlign w:val="superscript"/>
        </w:rPr>
        <w:t>]</w:t>
      </w:r>
      <w:r>
        <w:rPr>
          <w:rStyle w:val="af2"/>
        </w:rPr>
        <w:t>。更为复杂的土体</w:t>
      </w:r>
      <w:proofErr w:type="gramStart"/>
      <w:r>
        <w:rPr>
          <w:rStyle w:val="af2"/>
        </w:rPr>
        <w:t>动力本构模型</w:t>
      </w:r>
      <w:proofErr w:type="gramEnd"/>
      <w:r>
        <w:rPr>
          <w:rStyle w:val="af2"/>
        </w:rPr>
        <w:t>通常需要更多的拟合参数，以精确描述土体在动力荷载作用下的应力</w:t>
      </w:r>
      <w:r>
        <w:rPr>
          <w:rStyle w:val="af2"/>
          <w:rFonts w:ascii="宋体" w:eastAsia="宋体" w:hAnsi="宋体"/>
        </w:rPr>
        <w:t>-</w:t>
      </w:r>
      <w:proofErr w:type="gramStart"/>
      <w:r>
        <w:rPr>
          <w:rStyle w:val="af2"/>
        </w:rPr>
        <w:t>应变滞回曲线</w:t>
      </w:r>
      <w:proofErr w:type="gramEnd"/>
      <w:r>
        <w:rPr>
          <w:rStyle w:val="af2"/>
        </w:rPr>
        <w:t>，</w:t>
      </w:r>
      <w:proofErr w:type="gramStart"/>
      <w:r>
        <w:rPr>
          <w:rStyle w:val="af2"/>
        </w:rPr>
        <w:t>而滞回曲线</w:t>
      </w:r>
      <w:proofErr w:type="gramEnd"/>
      <w:r>
        <w:rPr>
          <w:rStyle w:val="af2"/>
        </w:rPr>
        <w:t>则受到土体参数及施加荷载大小的影响。虽然</w:t>
      </w:r>
      <w:proofErr w:type="gramStart"/>
      <w:r>
        <w:rPr>
          <w:rStyle w:val="af2"/>
        </w:rPr>
        <w:t>这些本构模型</w:t>
      </w:r>
      <w:proofErr w:type="gramEnd"/>
      <w:r>
        <w:rPr>
          <w:rStyle w:val="af2"/>
        </w:rPr>
        <w:t>能够准确描述土体在动力荷载作用下的应力</w:t>
      </w:r>
      <w:r>
        <w:rPr>
          <w:rStyle w:val="af2"/>
          <w:rFonts w:ascii="宋体" w:eastAsia="宋体" w:hAnsi="宋体"/>
        </w:rPr>
        <w:t>-</w:t>
      </w:r>
      <w:r>
        <w:rPr>
          <w:rStyle w:val="af2"/>
        </w:rPr>
        <w:t>应变关系，但这些经验拟合参数通常缺乏物理意义，也不容易获得，并且只适用于某些特定的土体。因</w:t>
      </w:r>
      <w:r>
        <w:rPr>
          <w:rStyle w:val="af2"/>
        </w:rPr>
        <w:lastRenderedPageBreak/>
        <w:t>此，确定一种形式简单、物理意义明确且易于数值推广应用的土体非线性</w:t>
      </w:r>
      <w:proofErr w:type="gramStart"/>
      <w:r>
        <w:rPr>
          <w:rStyle w:val="af2"/>
        </w:rPr>
        <w:t>动力本构模型</w:t>
      </w:r>
      <w:proofErr w:type="gramEnd"/>
      <w:r>
        <w:rPr>
          <w:rStyle w:val="af2"/>
        </w:rPr>
        <w:t>是一项非常重要</w:t>
      </w:r>
      <w:proofErr w:type="gramStart"/>
      <w:r>
        <w:rPr>
          <w:rStyle w:val="af2"/>
        </w:rPr>
        <w:t>且必要</w:t>
      </w:r>
      <w:proofErr w:type="gramEnd"/>
      <w:r>
        <w:rPr>
          <w:rStyle w:val="af2"/>
        </w:rPr>
        <w:t>的研究内容。</w:t>
      </w:r>
      <w:r>
        <w:rPr>
          <w:rStyle w:val="af2"/>
        </w:rPr>
        <w:t xml:space="preserve"> </w:t>
      </w:r>
    </w:p>
    <w:p w14:paraId="14C71F9E" w14:textId="77777777" w:rsidR="009911A0" w:rsidRDefault="002B582B">
      <w:pPr>
        <w:pStyle w:val="Normalwrd1"/>
        <w:rPr>
          <w:rStyle w:val="af2"/>
        </w:rPr>
      </w:pPr>
      <w:r>
        <w:rPr>
          <w:rStyle w:val="af2"/>
        </w:rPr>
        <w:t xml:space="preserve">        </w:t>
      </w:r>
      <w:r>
        <w:rPr>
          <w:rStyle w:val="af2"/>
        </w:rPr>
        <w:t>本文基于</w:t>
      </w:r>
      <w:r>
        <w:rPr>
          <w:rStyle w:val="af2"/>
          <w:rFonts w:ascii="方正科技符号" w:eastAsia="方正科技符号" w:hAnsi="方正科技符号"/>
        </w:rPr>
        <w:t>Logistic</w:t>
      </w:r>
      <w:r>
        <w:rPr>
          <w:rStyle w:val="af2"/>
        </w:rPr>
        <w:t>函数构造了</w:t>
      </w:r>
      <w:r>
        <w:rPr>
          <w:rStyle w:val="af2"/>
          <w:rFonts w:ascii="方正科技符号" w:eastAsia="方正科技符号" w:hAnsi="方正科技符号"/>
        </w:rPr>
        <w:t>Logistic</w:t>
      </w:r>
      <w:proofErr w:type="gramStart"/>
      <w:r>
        <w:rPr>
          <w:rStyle w:val="af2"/>
        </w:rPr>
        <w:t>函数型土体</w:t>
      </w:r>
      <w:proofErr w:type="gramEnd"/>
      <w:r>
        <w:rPr>
          <w:rStyle w:val="af2"/>
        </w:rPr>
        <w:t>非线性</w:t>
      </w:r>
      <w:proofErr w:type="gramStart"/>
      <w:r>
        <w:rPr>
          <w:rStyle w:val="af2"/>
        </w:rPr>
        <w:t>动力本构模型</w:t>
      </w:r>
      <w:proofErr w:type="gramEnd"/>
      <w:r>
        <w:rPr>
          <w:rStyle w:val="af2"/>
        </w:rPr>
        <w:t>（简称：</w:t>
      </w:r>
      <w:r>
        <w:rPr>
          <w:rStyle w:val="af2"/>
          <w:rFonts w:ascii="方正科技符号" w:eastAsia="方正科技符号" w:hAnsi="方正科技符号"/>
        </w:rPr>
        <w:t>Logistic</w:t>
      </w:r>
      <w:r>
        <w:rPr>
          <w:rStyle w:val="af2"/>
        </w:rPr>
        <w:t>函数型模型），该模型形式简单，骨架曲线与</w:t>
      </w:r>
      <w:proofErr w:type="gramStart"/>
      <w:r>
        <w:rPr>
          <w:rStyle w:val="af2"/>
        </w:rPr>
        <w:t>后继滞回曲线</w:t>
      </w:r>
      <w:proofErr w:type="gramEnd"/>
      <w:r>
        <w:rPr>
          <w:rStyle w:val="af2"/>
        </w:rPr>
        <w:t>有统一的表达式，物理意义明确</w:t>
      </w:r>
      <w:proofErr w:type="gramStart"/>
      <w:r>
        <w:rPr>
          <w:rStyle w:val="af2"/>
        </w:rPr>
        <w:t>且滞回</w:t>
      </w:r>
      <w:proofErr w:type="gramEnd"/>
      <w:r>
        <w:rPr>
          <w:rStyle w:val="af2"/>
        </w:rPr>
        <w:t>曲线能自动满足</w:t>
      </w:r>
      <w:r>
        <w:rPr>
          <w:rStyle w:val="af2"/>
          <w:rFonts w:ascii="方正科技符号" w:eastAsia="方正科技符号" w:hAnsi="方正科技符号"/>
        </w:rPr>
        <w:t>Masing</w:t>
      </w:r>
      <w:r>
        <w:rPr>
          <w:rStyle w:val="af2"/>
        </w:rPr>
        <w:t>准则</w:t>
      </w:r>
      <w:r>
        <w:rPr>
          <w:rStyle w:val="af2"/>
          <w:rFonts w:ascii="宋体" w:eastAsia="宋体" w:hAnsi="宋体"/>
          <w:vertAlign w:val="superscript"/>
        </w:rPr>
        <w:t>[</w:t>
      </w:r>
      <w:r>
        <w:rPr>
          <w:rStyle w:val="af2"/>
          <w:vertAlign w:val="superscript"/>
        </w:rPr>
        <w:t>10</w:t>
      </w:r>
      <w:r>
        <w:rPr>
          <w:rStyle w:val="af2"/>
          <w:rFonts w:ascii="宋体" w:eastAsia="宋体" w:hAnsi="宋体"/>
          <w:vertAlign w:val="superscript"/>
        </w:rPr>
        <w:t>]</w:t>
      </w:r>
      <w:r>
        <w:rPr>
          <w:rStyle w:val="af2"/>
        </w:rPr>
        <w:t>，方便数值应用。其次，以典型软土的剪切模量比与剪应变幅的试验数据验证了该模型的有效性。在此基础上，推导了该模型在初始加载、卸载和再加载阶段的增量剪切模量的表达式，并将其应力</w:t>
      </w:r>
      <w:r>
        <w:rPr>
          <w:rStyle w:val="af2"/>
          <w:rFonts w:ascii="宋体" w:eastAsia="宋体" w:hAnsi="宋体"/>
        </w:rPr>
        <w:t>-</w:t>
      </w:r>
      <w:r>
        <w:rPr>
          <w:rStyle w:val="af2"/>
        </w:rPr>
        <w:t>应变关系推广到了三维。然后，利用</w:t>
      </w:r>
      <w:r>
        <w:rPr>
          <w:rStyle w:val="af2"/>
          <w:rFonts w:ascii="方正科技符号" w:eastAsia="方正科技符号" w:hAnsi="方正科技符号"/>
        </w:rPr>
        <w:t>ABAQUS</w:t>
      </w:r>
      <w:r>
        <w:rPr>
          <w:rStyle w:val="af2"/>
        </w:rPr>
        <w:t>软件提供的二次开发平台</w:t>
      </w:r>
      <w:r>
        <w:rPr>
          <w:rStyle w:val="af2"/>
          <w:rFonts w:ascii="方正科技符号" w:eastAsia="方正科技符号" w:hAnsi="方正科技符号"/>
        </w:rPr>
        <w:t>UMAT</w:t>
      </w:r>
      <w:r>
        <w:rPr>
          <w:rStyle w:val="af2"/>
        </w:rPr>
        <w:t>，编制了基于本文所给出的土体非线性</w:t>
      </w:r>
      <w:proofErr w:type="gramStart"/>
      <w:r>
        <w:rPr>
          <w:rStyle w:val="af2"/>
        </w:rPr>
        <w:t>动力本构模型</w:t>
      </w:r>
      <w:proofErr w:type="gramEnd"/>
      <w:r>
        <w:rPr>
          <w:rStyle w:val="af2"/>
        </w:rPr>
        <w:t>的计算子程序，并利用复杂加载路径验证了该子程序的正确性，实现了在</w:t>
      </w:r>
      <w:r>
        <w:rPr>
          <w:rStyle w:val="af2"/>
          <w:rFonts w:ascii="方正科技符号" w:eastAsia="方正科技符号" w:hAnsi="方正科技符号"/>
        </w:rPr>
        <w:t>ABAQUS</w:t>
      </w:r>
      <w:r>
        <w:rPr>
          <w:rStyle w:val="af2"/>
        </w:rPr>
        <w:t>软件中</w:t>
      </w:r>
      <w:r>
        <w:rPr>
          <w:rStyle w:val="af2"/>
          <w:rFonts w:ascii="方正科技符号" w:eastAsia="方正科技符号" w:hAnsi="方正科技符号"/>
        </w:rPr>
        <w:t>Logistic</w:t>
      </w:r>
      <w:proofErr w:type="gramStart"/>
      <w:r>
        <w:rPr>
          <w:rStyle w:val="af2"/>
        </w:rPr>
        <w:t>函数型土体</w:t>
      </w:r>
      <w:proofErr w:type="gramEnd"/>
      <w:r>
        <w:rPr>
          <w:rStyle w:val="af2"/>
        </w:rPr>
        <w:t>非线性</w:t>
      </w:r>
      <w:proofErr w:type="gramStart"/>
      <w:r>
        <w:rPr>
          <w:rStyle w:val="af2"/>
        </w:rPr>
        <w:t>动力本构模型</w:t>
      </w:r>
      <w:proofErr w:type="gramEnd"/>
      <w:r>
        <w:rPr>
          <w:rStyle w:val="af2"/>
        </w:rPr>
        <w:t>的数值应用。最后，以典型软土场地为例，对比分析了软土场地</w:t>
      </w:r>
      <w:r>
        <w:rPr>
          <w:rStyle w:val="af2"/>
          <w:rFonts w:ascii="方正科技符号" w:eastAsia="方正科技符号" w:hAnsi="方正科技符号"/>
        </w:rPr>
        <w:t>Logistic</w:t>
      </w:r>
      <w:r>
        <w:rPr>
          <w:rStyle w:val="af2"/>
        </w:rPr>
        <w:t>函数型模型和</w:t>
      </w:r>
      <w:proofErr w:type="spellStart"/>
      <w:r>
        <w:rPr>
          <w:rStyle w:val="af2"/>
          <w:rFonts w:ascii="方正科技符号" w:eastAsia="方正科技符号" w:hAnsi="方正科技符号"/>
        </w:rPr>
        <w:t>Davidenkov</w:t>
      </w:r>
      <w:proofErr w:type="spellEnd"/>
      <w:r>
        <w:rPr>
          <w:rStyle w:val="af2"/>
        </w:rPr>
        <w:t>模型计算结果间的差异。</w:t>
      </w:r>
    </w:p>
    <w:p w14:paraId="36149C28" w14:textId="77777777" w:rsidR="009911A0" w:rsidRDefault="002B582B" w:rsidP="00245684">
      <w:pPr>
        <w:pStyle w:val="Normalwrd1"/>
        <w:spacing w:beforeLines="100" w:before="240" w:afterLines="100" w:after="240"/>
        <w:rPr>
          <w:rStyle w:val="af2"/>
          <w:rFonts w:ascii="黑体" w:eastAsia="黑体" w:hAnsi="黑体"/>
        </w:rPr>
      </w:pPr>
      <w:r>
        <w:rPr>
          <w:rStyle w:val="af2"/>
          <w:b/>
        </w:rPr>
        <w:t>1</w:t>
      </w:r>
      <w:r w:rsidR="00DC3581">
        <w:rPr>
          <w:rStyle w:val="af2"/>
          <w:rFonts w:hint="eastAsia"/>
          <w:b/>
        </w:rPr>
        <w:t xml:space="preserve">  </w:t>
      </w:r>
      <w:r>
        <w:rPr>
          <w:rStyle w:val="af2"/>
          <w:rFonts w:eastAsia="黑体"/>
          <w:b/>
        </w:rPr>
        <w:t>构造原则及骨架曲线函数形式的选择</w:t>
      </w:r>
    </w:p>
    <w:p w14:paraId="4FB7875E" w14:textId="77777777" w:rsidR="009911A0" w:rsidRDefault="002B582B">
      <w:pPr>
        <w:pStyle w:val="Normalwrd1"/>
        <w:rPr>
          <w:rStyle w:val="af2"/>
        </w:rPr>
      </w:pPr>
      <w:r>
        <w:rPr>
          <w:rStyle w:val="af2"/>
          <w:rFonts w:ascii="宋体" w:eastAsia="宋体" w:hAnsi="宋体"/>
        </w:rPr>
        <w:t>1.1</w:t>
      </w:r>
      <w:r>
        <w:rPr>
          <w:rStyle w:val="af2"/>
          <w:rFonts w:ascii="楷体" w:eastAsia="楷体" w:hAnsi="楷体"/>
        </w:rPr>
        <w:t xml:space="preserve">  构造原则</w:t>
      </w:r>
    </w:p>
    <w:p w14:paraId="4ED0FD03" w14:textId="77777777" w:rsidR="009911A0" w:rsidRDefault="002B582B" w:rsidP="002344C4">
      <w:pPr>
        <w:pStyle w:val="Normalwrd1"/>
        <w:ind w:firstLineChars="200" w:firstLine="420"/>
        <w:rPr>
          <w:rStyle w:val="af2"/>
        </w:rPr>
      </w:pPr>
      <w:r>
        <w:rPr>
          <w:rStyle w:val="af2"/>
        </w:rPr>
        <w:t>构造土体非线性</w:t>
      </w:r>
      <w:proofErr w:type="gramStart"/>
      <w:r>
        <w:rPr>
          <w:rStyle w:val="af2"/>
        </w:rPr>
        <w:t>动力本构模型</w:t>
      </w:r>
      <w:proofErr w:type="gramEnd"/>
      <w:r>
        <w:rPr>
          <w:rStyle w:val="af2"/>
        </w:rPr>
        <w:t>的核心任务是确定其骨架曲线和</w:t>
      </w:r>
      <w:proofErr w:type="gramStart"/>
      <w:r>
        <w:rPr>
          <w:rStyle w:val="af2"/>
        </w:rPr>
        <w:t>滞回</w:t>
      </w:r>
      <w:proofErr w:type="gramEnd"/>
      <w:r>
        <w:rPr>
          <w:rStyle w:val="af2"/>
        </w:rPr>
        <w:t>曲线。以此为基础，可以将构造原则简要归纳如下：</w:t>
      </w:r>
    </w:p>
    <w:p w14:paraId="42872A17" w14:textId="77777777" w:rsidR="009911A0" w:rsidRDefault="002B582B" w:rsidP="002344C4">
      <w:pPr>
        <w:pStyle w:val="Normalwrd1"/>
        <w:ind w:firstLineChars="200" w:firstLine="420"/>
        <w:rPr>
          <w:rStyle w:val="af2"/>
        </w:rPr>
      </w:pPr>
      <w:r>
        <w:rPr>
          <w:rStyle w:val="af2"/>
          <w:rFonts w:ascii="宋体" w:eastAsia="宋体" w:hAnsi="宋体"/>
        </w:rPr>
        <w:t>（</w:t>
      </w:r>
      <w:r>
        <w:rPr>
          <w:rStyle w:val="af2"/>
        </w:rPr>
        <w:t>1</w:t>
      </w:r>
      <w:r>
        <w:rPr>
          <w:rStyle w:val="af2"/>
          <w:rFonts w:ascii="宋体" w:eastAsia="宋体" w:hAnsi="宋体"/>
        </w:rPr>
        <w:t>）</w:t>
      </w:r>
      <w:r>
        <w:rPr>
          <w:rStyle w:val="af2"/>
        </w:rPr>
        <w:t>初始加载时，土体的动应力</w:t>
      </w:r>
      <w:r>
        <w:rPr>
          <w:rStyle w:val="af2"/>
          <w:rFonts w:ascii="宋体" w:eastAsia="宋体" w:hAnsi="宋体"/>
        </w:rPr>
        <w:t>-</w:t>
      </w:r>
      <w:r>
        <w:rPr>
          <w:rStyle w:val="af2"/>
        </w:rPr>
        <w:t>应变关系遵循骨架曲线；</w:t>
      </w:r>
    </w:p>
    <w:p w14:paraId="56669191" w14:textId="77777777" w:rsidR="009911A0" w:rsidRDefault="002B582B" w:rsidP="002344C4">
      <w:pPr>
        <w:pStyle w:val="Normalwrd1"/>
        <w:ind w:firstLineChars="200" w:firstLine="420"/>
        <w:rPr>
          <w:rStyle w:val="af2"/>
        </w:rPr>
      </w:pPr>
      <w:r>
        <w:rPr>
          <w:rStyle w:val="af2"/>
          <w:rFonts w:ascii="宋体" w:eastAsia="宋体" w:hAnsi="宋体"/>
        </w:rPr>
        <w:t>（</w:t>
      </w:r>
      <w:r>
        <w:rPr>
          <w:rStyle w:val="af2"/>
        </w:rPr>
        <w:t>2</w:t>
      </w:r>
      <w:r>
        <w:rPr>
          <w:rStyle w:val="af2"/>
          <w:rFonts w:ascii="宋体" w:eastAsia="宋体" w:hAnsi="宋体"/>
        </w:rPr>
        <w:t>）</w:t>
      </w:r>
      <w:proofErr w:type="gramStart"/>
      <w:r>
        <w:rPr>
          <w:rStyle w:val="af2"/>
        </w:rPr>
        <w:t>后继滞回曲线</w:t>
      </w:r>
      <w:proofErr w:type="gramEnd"/>
      <w:r>
        <w:rPr>
          <w:rStyle w:val="af2"/>
        </w:rPr>
        <w:t>与骨架曲线函数形式一致，可通过骨架曲线平移、翻转得到，但相关参数的选取有所差别；</w:t>
      </w:r>
    </w:p>
    <w:p w14:paraId="37EB4004" w14:textId="77777777" w:rsidR="009911A0" w:rsidRDefault="002B582B" w:rsidP="002344C4">
      <w:pPr>
        <w:pStyle w:val="Normalwrd1"/>
        <w:ind w:firstLineChars="200" w:firstLine="420"/>
        <w:rPr>
          <w:rStyle w:val="af2"/>
        </w:rPr>
      </w:pPr>
      <w:r>
        <w:rPr>
          <w:rStyle w:val="af2"/>
          <w:rFonts w:ascii="宋体" w:eastAsia="宋体" w:hAnsi="宋体"/>
        </w:rPr>
        <w:t>（</w:t>
      </w:r>
      <w:r>
        <w:rPr>
          <w:rStyle w:val="af2"/>
        </w:rPr>
        <w:t>3</w:t>
      </w:r>
      <w:r>
        <w:rPr>
          <w:rStyle w:val="af2"/>
          <w:rFonts w:ascii="宋体" w:eastAsia="宋体" w:hAnsi="宋体"/>
        </w:rPr>
        <w:t>）</w:t>
      </w:r>
      <w:r>
        <w:rPr>
          <w:rStyle w:val="af2"/>
        </w:rPr>
        <w:t>骨架曲线随着剪应变幅值的增大而增大，且骨架曲线和</w:t>
      </w:r>
      <w:proofErr w:type="gramStart"/>
      <w:r>
        <w:rPr>
          <w:rStyle w:val="af2"/>
        </w:rPr>
        <w:t>后继滞回曲线</w:t>
      </w:r>
      <w:proofErr w:type="gramEnd"/>
      <w:r>
        <w:rPr>
          <w:rStyle w:val="af2"/>
        </w:rPr>
        <w:t>的剪应力值不能超过土体的剪应力极值。即当</w:t>
      </w:r>
      <m:oMath>
        <m:r>
          <w:rPr>
            <w:rFonts w:ascii="Cambria Math" w:hAnsi="Cambria Math"/>
          </w:rPr>
          <m:t>γ</m:t>
        </m:r>
        <m:r>
          <m:rPr>
            <m:sty m:val="p"/>
          </m:rPr>
          <w:rPr>
            <w:rFonts w:ascii="Cambria Math" w:hAnsi="Cambria Math"/>
          </w:rPr>
          <m:t>→∞</m:t>
        </m:r>
      </m:oMath>
      <w:r>
        <w:rPr>
          <w:rStyle w:val="af2"/>
        </w:rPr>
        <w:t>时，剪应力</w:t>
      </w:r>
      <m:oMath>
        <m:r>
          <m:rPr>
            <m:sty m:val="p"/>
          </m:rPr>
          <w:rPr>
            <w:rFonts w:ascii="Cambria Math" w:hAnsi="Cambria Math"/>
          </w:rPr>
          <m:t>τ(</m:t>
        </m:r>
        <m:r>
          <w:rPr>
            <w:rFonts w:ascii="Cambria Math" w:hAnsi="Cambria Math"/>
          </w:rPr>
          <m:t>γ</m:t>
        </m:r>
        <m:r>
          <m:rPr>
            <m:sty m:val="p"/>
          </m:rPr>
          <w:rPr>
            <w:rFonts w:ascii="Cambria Math" w:hAnsi="Cambria Math"/>
          </w:rPr>
          <m:t>)→</m:t>
        </m:r>
        <m:sSub>
          <m:sSubPr>
            <m:ctrlPr>
              <w:rPr>
                <w:rFonts w:ascii="Cambria Math" w:hAnsi="Cambria Math"/>
              </w:rPr>
            </m:ctrlPr>
          </m:sSubPr>
          <m:e>
            <m:r>
              <m:rPr>
                <m:sty m:val="p"/>
              </m:rPr>
              <w:rPr>
                <w:rFonts w:ascii="Cambria Math" w:hAnsi="Cambria Math"/>
              </w:rPr>
              <m:t>τ</m:t>
            </m:r>
          </m:e>
          <m:sub>
            <m:r>
              <w:rPr>
                <w:rFonts w:ascii="Cambria Math" w:hAnsi="Cambria Math"/>
              </w:rPr>
              <m:t>max</m:t>
            </m:r>
          </m:sub>
        </m:sSub>
      </m:oMath>
      <w:r>
        <w:rPr>
          <w:rStyle w:val="af2"/>
        </w:rPr>
        <w:t>；</w:t>
      </w:r>
    </w:p>
    <w:p w14:paraId="5703B936" w14:textId="77777777" w:rsidR="009911A0" w:rsidRDefault="002B582B" w:rsidP="002344C4">
      <w:pPr>
        <w:pStyle w:val="Normalwrd1"/>
        <w:ind w:firstLineChars="200" w:firstLine="420"/>
        <w:rPr>
          <w:rStyle w:val="af2"/>
        </w:rPr>
      </w:pPr>
      <w:r>
        <w:rPr>
          <w:rStyle w:val="af2"/>
          <w:rFonts w:ascii="宋体" w:eastAsia="宋体" w:hAnsi="宋体"/>
        </w:rPr>
        <w:t>（</w:t>
      </w:r>
      <w:r>
        <w:rPr>
          <w:rStyle w:val="af2"/>
        </w:rPr>
        <w:t>4</w:t>
      </w:r>
      <w:r>
        <w:rPr>
          <w:rStyle w:val="af2"/>
          <w:rFonts w:ascii="宋体" w:eastAsia="宋体" w:hAnsi="宋体"/>
        </w:rPr>
        <w:t>）</w:t>
      </w:r>
      <w:r>
        <w:rPr>
          <w:rStyle w:val="af2"/>
        </w:rPr>
        <w:t>卸载及再加载时，</w:t>
      </w:r>
      <w:proofErr w:type="gramStart"/>
      <w:r>
        <w:rPr>
          <w:rStyle w:val="af2"/>
        </w:rPr>
        <w:t>滞回曲线</w:t>
      </w:r>
      <w:proofErr w:type="gramEnd"/>
      <w:r>
        <w:rPr>
          <w:rStyle w:val="af2"/>
        </w:rPr>
        <w:t>上荷载转折点处的剪切模量等于最大剪切模量。</w:t>
      </w:r>
    </w:p>
    <w:p w14:paraId="44E52BB4" w14:textId="77777777" w:rsidR="009911A0" w:rsidRDefault="002B582B" w:rsidP="002344C4">
      <w:pPr>
        <w:pStyle w:val="Normalwrd1"/>
        <w:ind w:firstLineChars="200" w:firstLine="420"/>
        <w:rPr>
          <w:rStyle w:val="af2"/>
        </w:rPr>
      </w:pPr>
      <w:r>
        <w:rPr>
          <w:rStyle w:val="af2"/>
        </w:rPr>
        <w:t>本文基于以上构造原则来构造土体非线性</w:t>
      </w:r>
      <w:proofErr w:type="gramStart"/>
      <w:r>
        <w:rPr>
          <w:rStyle w:val="af2"/>
        </w:rPr>
        <w:t>动力本构模型</w:t>
      </w:r>
      <w:proofErr w:type="gramEnd"/>
      <w:r>
        <w:rPr>
          <w:rStyle w:val="af2"/>
        </w:rPr>
        <w:t>。</w:t>
      </w:r>
    </w:p>
    <w:p w14:paraId="26CA5F20" w14:textId="77777777" w:rsidR="009911A0" w:rsidRDefault="002B582B">
      <w:pPr>
        <w:pStyle w:val="Normalwrd1"/>
        <w:rPr>
          <w:rStyle w:val="af2"/>
        </w:rPr>
      </w:pPr>
      <w:r>
        <w:rPr>
          <w:rStyle w:val="af2"/>
          <w:rFonts w:ascii="宋体" w:eastAsia="宋体" w:hAnsi="宋体"/>
        </w:rPr>
        <w:t>1.2</w:t>
      </w:r>
      <w:r>
        <w:rPr>
          <w:rStyle w:val="af2"/>
          <w:rFonts w:ascii="楷体" w:eastAsia="楷体" w:hAnsi="楷体"/>
        </w:rPr>
        <w:t xml:space="preserve">  骨架曲线函数形式的选择</w:t>
      </w:r>
    </w:p>
    <w:p w14:paraId="3CB01416" w14:textId="77777777" w:rsidR="009911A0" w:rsidRDefault="002B582B" w:rsidP="002344C4">
      <w:pPr>
        <w:pStyle w:val="Normalwrd1"/>
        <w:ind w:firstLineChars="200" w:firstLine="420"/>
        <w:rPr>
          <w:rStyle w:val="af2"/>
        </w:rPr>
      </w:pPr>
      <w:r>
        <w:rPr>
          <w:rStyle w:val="af2"/>
          <w:rFonts w:ascii="方正科技符号" w:eastAsia="方正科技符号" w:hAnsi="方正科技符号"/>
        </w:rPr>
        <w:t>Logistic</w:t>
      </w:r>
      <w:r>
        <w:rPr>
          <w:rStyle w:val="af2"/>
        </w:rPr>
        <w:t>函数</w:t>
      </w:r>
      <w:r>
        <w:rPr>
          <w:rStyle w:val="af2"/>
          <w:rFonts w:ascii="宋体" w:eastAsia="宋体" w:hAnsi="宋体"/>
          <w:vertAlign w:val="superscript"/>
        </w:rPr>
        <w:t>[</w:t>
      </w:r>
      <w:r>
        <w:rPr>
          <w:rStyle w:val="af2"/>
          <w:vertAlign w:val="superscript"/>
        </w:rPr>
        <w:t>11</w:t>
      </w:r>
      <w:r>
        <w:rPr>
          <w:rStyle w:val="af2"/>
          <w:rFonts w:ascii="宋体" w:eastAsia="宋体" w:hAnsi="宋体"/>
          <w:vertAlign w:val="superscript"/>
        </w:rPr>
        <w:t>]</w:t>
      </w:r>
      <w:r>
        <w:rPr>
          <w:rStyle w:val="af2"/>
        </w:rPr>
        <w:t>由皮埃尔</w:t>
      </w:r>
      <w:r>
        <w:rPr>
          <w:rStyle w:val="af2"/>
        </w:rPr>
        <w:t>•</w:t>
      </w:r>
      <w:r>
        <w:rPr>
          <w:rStyle w:val="af2"/>
        </w:rPr>
        <w:t>弗朗索瓦</w:t>
      </w:r>
      <w:r>
        <w:rPr>
          <w:rStyle w:val="af2"/>
        </w:rPr>
        <w:t>•</w:t>
      </w:r>
      <w:r>
        <w:rPr>
          <w:rStyle w:val="af2"/>
        </w:rPr>
        <w:t>韦吕勒在</w:t>
      </w:r>
      <w:r>
        <w:rPr>
          <w:rStyle w:val="af2"/>
        </w:rPr>
        <w:t>1844</w:t>
      </w:r>
      <w:r>
        <w:rPr>
          <w:rStyle w:val="af2"/>
          <w:rFonts w:ascii="宋体" w:eastAsia="宋体" w:hAnsi="宋体"/>
        </w:rPr>
        <w:t>—</w:t>
      </w:r>
      <w:r>
        <w:rPr>
          <w:rStyle w:val="af2"/>
        </w:rPr>
        <w:t>1845</w:t>
      </w:r>
      <w:r>
        <w:rPr>
          <w:rStyle w:val="af2"/>
        </w:rPr>
        <w:t>年研究人口增长关系时命名，该函数是一种常见的</w:t>
      </w:r>
      <m:oMath>
        <m:r>
          <m:rPr>
            <m:sty m:val="p"/>
          </m:rPr>
          <w:rPr>
            <w:rFonts w:ascii="Cambria Math" w:hAnsi="Cambria Math"/>
          </w:rPr>
          <m:t>S</m:t>
        </m:r>
      </m:oMath>
      <w:r>
        <w:rPr>
          <w:rStyle w:val="af2"/>
        </w:rPr>
        <w:t>形函数，其表达式为</w:t>
      </w:r>
    </w:p>
    <w:p w14:paraId="49FF5214" w14:textId="77777777" w:rsidR="009911A0" w:rsidRDefault="002B582B" w:rsidP="00245684">
      <w:pPr>
        <w:pStyle w:val="Normalwrd1"/>
        <w:wordWrap w:val="0"/>
        <w:jc w:val="right"/>
        <w:rPr>
          <w:rStyle w:val="af2"/>
        </w:rPr>
      </w:pPr>
      <m:oMath>
        <m:r>
          <m:rPr>
            <m:sty m:val="p"/>
          </m:rPr>
          <w:rPr>
            <w:rFonts w:ascii="Cambria Math" w:hAnsi="Cambria Math"/>
          </w:rPr>
          <m:t xml:space="preserve">      </m:t>
        </m:r>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m:t>
        </m:r>
        <m:f>
          <m:fPr>
            <m:ctrlPr>
              <w:rPr>
                <w:rFonts w:ascii="Cambria Math" w:hAnsi="Cambria Math"/>
              </w:rPr>
            </m:ctrlPr>
          </m:fPr>
          <m:num>
            <m:r>
              <w:rPr>
                <w:rFonts w:ascii="Cambria Math" w:hAnsi="Cambria Math"/>
              </w:rPr>
              <m:t>K</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sSup>
              <m:sSupPr>
                <m:ctrlPr>
                  <w:rPr>
                    <w:rFonts w:ascii="Cambria Math" w:hAnsi="Cambria Math"/>
                  </w:rPr>
                </m:ctrlPr>
              </m:sSupPr>
              <m:e>
                <m:r>
                  <m:rPr>
                    <m:sty m:val="p"/>
                  </m:rPr>
                  <w:rPr>
                    <w:rFonts w:ascii="Cambria Math" w:hAnsi="Cambria Math"/>
                  </w:rPr>
                  <m:t>e</m:t>
                </m:r>
              </m:e>
              <m:sup>
                <m:r>
                  <w:rPr>
                    <w:rFonts w:ascii="Cambria Math" w:hAnsi="Cambria Math"/>
                  </w:rPr>
                  <m:t>rx</m:t>
                </m:r>
              </m:sup>
            </m:sSup>
          </m:num>
          <m:den>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e</m:t>
                </m:r>
              </m:e>
              <m:sup>
                <m:r>
                  <w:rPr>
                    <w:rFonts w:ascii="Cambria Math" w:hAnsi="Cambria Math"/>
                  </w:rPr>
                  <m:t>rx</m:t>
                </m:r>
              </m:sup>
            </m:sSup>
            <m:r>
              <m:rPr>
                <m:sty m:val="p"/>
              </m:rPr>
              <w:rPr>
                <w:rFonts w:ascii="Cambria Math" w:hAnsi="Cambria Math"/>
              </w:rPr>
              <m:t>-1)</m:t>
            </m:r>
          </m:den>
        </m:f>
        <m:r>
          <w:rPr>
            <w:rFonts w:ascii="Cambria Math" w:hAnsi="Cambria Math"/>
          </w:rPr>
          <m:t>,  x</m:t>
        </m:r>
        <m:r>
          <m:rPr>
            <m:sty m:val="p"/>
          </m:rPr>
          <w:rPr>
            <w:rFonts w:ascii="Cambria Math" w:hAnsi="Cambria Math"/>
          </w:rPr>
          <m:t>∈(-</m:t>
        </m:r>
        <m:r>
          <w:rPr>
            <w:rFonts w:ascii="Cambria Math" w:hAnsi="Cambria Math"/>
          </w:rPr>
          <m:t>∞</m:t>
        </m:r>
        <m:r>
          <m:rPr>
            <m:sty m:val="p"/>
          </m:rPr>
          <w:rPr>
            <w:rFonts w:ascii="Cambria Math" w:hAnsi="Cambria Math"/>
          </w:rPr>
          <m:t>,+</m:t>
        </m:r>
        <m:r>
          <w:rPr>
            <w:rFonts w:ascii="Cambria Math" w:hAnsi="Cambria Math"/>
          </w:rPr>
          <m:t>∞</m:t>
        </m:r>
        <m:r>
          <m:rPr>
            <m:sty m:val="p"/>
          </m:rPr>
          <w:rPr>
            <w:rFonts w:ascii="Cambria Math" w:hAnsi="Cambria Math"/>
          </w:rPr>
          <m:t>)</m:t>
        </m:r>
      </m:oMath>
      <w:r>
        <w:rPr>
          <w:rStyle w:val="af2"/>
        </w:rPr>
        <w:t xml:space="preserve">   </w:t>
      </w:r>
      <w:r w:rsidR="00245684">
        <w:rPr>
          <w:rStyle w:val="af2"/>
          <w:rFonts w:hint="eastAsia"/>
        </w:rPr>
        <w:t xml:space="preserve">                                      </w:t>
      </w:r>
      <w:r>
        <w:rPr>
          <w:rStyle w:val="af2"/>
        </w:rPr>
        <w:t xml:space="preserve"> </w:t>
      </w:r>
      <w:r>
        <w:rPr>
          <w:rStyle w:val="af2"/>
          <w:rFonts w:ascii="宋体" w:eastAsia="宋体" w:hAnsi="宋体"/>
        </w:rPr>
        <w:t>（</w:t>
      </w:r>
      <w:r>
        <w:rPr>
          <w:rStyle w:val="af2"/>
        </w:rPr>
        <w:t>1</w:t>
      </w:r>
      <w:r>
        <w:rPr>
          <w:rStyle w:val="af2"/>
          <w:rFonts w:ascii="宋体" w:eastAsia="宋体" w:hAnsi="宋体"/>
        </w:rPr>
        <w:t>）</w:t>
      </w:r>
    </w:p>
    <w:p w14:paraId="62FCAB0C" w14:textId="77777777" w:rsidR="009911A0" w:rsidRDefault="002B582B">
      <w:pPr>
        <w:pStyle w:val="Normalwrd1"/>
        <w:rPr>
          <w:rStyle w:val="af2"/>
        </w:rPr>
      </w:pPr>
      <w:r>
        <w:rPr>
          <w:rStyle w:val="af2"/>
        </w:rPr>
        <w:t>式中：</w:t>
      </w:r>
      <m:oMath>
        <m:sSub>
          <m:sSubPr>
            <m:ctrlPr>
              <w:rPr>
                <w:rFonts w:ascii="Cambria Math" w:hAnsi="Cambria Math"/>
              </w:rPr>
            </m:ctrlPr>
          </m:sSubPr>
          <m:e>
            <m:r>
              <w:rPr>
                <w:rFonts w:ascii="Cambria Math" w:hAnsi="Cambria Math"/>
              </w:rPr>
              <m:t>P</m:t>
            </m:r>
          </m:e>
          <m:sub>
            <m:r>
              <m:rPr>
                <m:sty m:val="p"/>
              </m:rPr>
              <w:rPr>
                <w:rFonts w:ascii="Cambria Math" w:hAnsi="Cambria Math"/>
              </w:rPr>
              <m:t>0</m:t>
            </m:r>
          </m:sub>
        </m:sSub>
      </m:oMath>
      <w:r>
        <w:rPr>
          <w:rStyle w:val="af2"/>
        </w:rPr>
        <w:t>为初始值，</w:t>
      </w:r>
      <m:oMath>
        <m:r>
          <w:rPr>
            <w:rFonts w:ascii="Cambria Math" w:hAnsi="Cambria Math"/>
          </w:rPr>
          <m:t>K</m:t>
        </m:r>
      </m:oMath>
      <w:r>
        <w:rPr>
          <w:rStyle w:val="af2"/>
        </w:rPr>
        <w:t>为终值，</w:t>
      </w:r>
      <m:oMath>
        <m:r>
          <w:rPr>
            <w:rFonts w:ascii="Cambria Math" w:hAnsi="Cambria Math"/>
          </w:rPr>
          <m:t>r</m:t>
        </m:r>
      </m:oMath>
      <w:r>
        <w:rPr>
          <w:rStyle w:val="af2"/>
        </w:rPr>
        <w:t>用来衡量曲线变化速度。由式</w:t>
      </w:r>
      <w:r>
        <w:rPr>
          <w:rStyle w:val="af2"/>
          <w:rFonts w:ascii="宋体" w:eastAsia="宋体" w:hAnsi="宋体"/>
        </w:rPr>
        <w:t>（</w:t>
      </w:r>
      <w:r>
        <w:rPr>
          <w:rStyle w:val="af2"/>
        </w:rPr>
        <w:t>1</w:t>
      </w:r>
      <w:r>
        <w:rPr>
          <w:rStyle w:val="af2"/>
          <w:rFonts w:ascii="宋体" w:eastAsia="宋体" w:hAnsi="宋体"/>
        </w:rPr>
        <w:t>）</w:t>
      </w:r>
      <w:r>
        <w:rPr>
          <w:rStyle w:val="af2"/>
        </w:rPr>
        <w:t>可知，该函数单调递增，在初始阶段大致呈指数形式增长，之后随着函数值的增加，其增长速度逐渐变慢，最后，达到峰值时增长速度逐渐降为</w:t>
      </w:r>
      <w:r>
        <w:rPr>
          <w:rStyle w:val="af2"/>
        </w:rPr>
        <w:t>0</w:t>
      </w:r>
      <w:r>
        <w:rPr>
          <w:rStyle w:val="af2"/>
        </w:rPr>
        <w:t>。</w:t>
      </w:r>
    </w:p>
    <w:p w14:paraId="123AC6C6" w14:textId="77777777" w:rsidR="009911A0" w:rsidRDefault="002B582B" w:rsidP="002344C4">
      <w:pPr>
        <w:pStyle w:val="Normalwrd1"/>
        <w:ind w:firstLineChars="200" w:firstLine="420"/>
        <w:rPr>
          <w:rStyle w:val="af2"/>
        </w:rPr>
      </w:pPr>
      <w:r>
        <w:rPr>
          <w:rStyle w:val="af2"/>
        </w:rPr>
        <w:t>对</w:t>
      </w:r>
      <w:r>
        <w:rPr>
          <w:rStyle w:val="af2"/>
          <w:rFonts w:ascii="方正科技符号" w:eastAsia="方正科技符号" w:hAnsi="方正科技符号"/>
        </w:rPr>
        <w:t>Logistic</w:t>
      </w:r>
      <w:r>
        <w:rPr>
          <w:rStyle w:val="af2"/>
        </w:rPr>
        <w:t>函数进一步研究可以发现，该函数的定义域为</w:t>
      </w:r>
      <m:oMath>
        <m:r>
          <m:rPr>
            <m:sty m:val="p"/>
          </m:rPr>
          <w:rPr>
            <w:rFonts w:ascii="Cambria Math" w:hAnsi="Cambria Math"/>
          </w:rPr>
          <m:t>(-</m:t>
        </m:r>
        <m:r>
          <w:rPr>
            <w:rFonts w:ascii="Cambria Math" w:hAnsi="Cambria Math"/>
          </w:rPr>
          <m:t>∞</m:t>
        </m:r>
        <m:r>
          <m:rPr>
            <m:sty m:val="p"/>
          </m:rPr>
          <w:rPr>
            <w:rFonts w:ascii="Cambria Math" w:hAnsi="Cambria Math"/>
          </w:rPr>
          <m:t>,+</m:t>
        </m:r>
        <m:r>
          <w:rPr>
            <w:rFonts w:ascii="Cambria Math" w:hAnsi="Cambria Math"/>
          </w:rPr>
          <m:t>∞</m:t>
        </m:r>
        <m:r>
          <m:rPr>
            <m:sty m:val="p"/>
          </m:rPr>
          <w:rPr>
            <w:rFonts w:ascii="Cambria Math" w:hAnsi="Cambria Math"/>
          </w:rPr>
          <m:t>)</m:t>
        </m:r>
      </m:oMath>
      <w:r>
        <w:rPr>
          <w:rStyle w:val="af2"/>
        </w:rPr>
        <w:t>，值域为</w:t>
      </w:r>
      <m:oMath>
        <m:r>
          <m:rPr>
            <m:sty m:val="p"/>
          </m:rPr>
          <w:rPr>
            <w:rFonts w:ascii="Cambria Math" w:hAnsi="Cambria Math"/>
          </w:rPr>
          <m:t>(0,</m:t>
        </m:r>
        <m:r>
          <w:rPr>
            <w:rFonts w:ascii="Cambria Math" w:hAnsi="Cambria Math"/>
          </w:rPr>
          <m:t>K</m:t>
        </m:r>
        <m:r>
          <m:rPr>
            <m:sty m:val="p"/>
          </m:rPr>
          <w:rPr>
            <w:rFonts w:ascii="Cambria Math" w:hAnsi="Cambria Math"/>
          </w:rPr>
          <m:t>)</m:t>
        </m:r>
      </m:oMath>
      <w:r>
        <w:rPr>
          <w:rStyle w:val="af2"/>
        </w:rPr>
        <w:t>。因此，对该函数做简单的数学变换，将整个函数沿</w:t>
      </w:r>
      <m:oMath>
        <m:r>
          <w:rPr>
            <w:rFonts w:ascii="Cambria Math" w:hAnsi="Cambria Math"/>
          </w:rPr>
          <m:t>y</m:t>
        </m:r>
      </m:oMath>
      <w:r>
        <w:rPr>
          <w:rStyle w:val="af2"/>
        </w:rPr>
        <w:t>轴向下移动</w:t>
      </w:r>
      <m:oMath>
        <m:sSub>
          <m:sSubPr>
            <m:ctrlPr>
              <w:rPr>
                <w:rFonts w:ascii="Cambria Math" w:hAnsi="Cambria Math"/>
              </w:rPr>
            </m:ctrlPr>
          </m:sSubPr>
          <m:e>
            <m:r>
              <w:rPr>
                <w:rFonts w:ascii="Cambria Math" w:hAnsi="Cambria Math"/>
              </w:rPr>
              <m:t>P</m:t>
            </m:r>
          </m:e>
          <m:sub>
            <m:r>
              <m:rPr>
                <m:sty m:val="p"/>
              </m:rPr>
              <w:rPr>
                <w:rFonts w:ascii="Cambria Math" w:hAnsi="Cambria Math"/>
              </w:rPr>
              <m:t>0</m:t>
            </m:r>
          </m:sub>
        </m:sSub>
      </m:oMath>
      <w:r>
        <w:rPr>
          <w:rStyle w:val="af2"/>
        </w:rPr>
        <w:t>长度，并令</w:t>
      </w:r>
      <m:oMath>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r>
          <w:rPr>
            <w:rFonts w:ascii="Cambria Math" w:hAnsi="Cambria Math"/>
          </w:rPr>
          <m:t>K</m:t>
        </m:r>
        <m:r>
          <m:rPr>
            <m:sty m:val="p"/>
          </m:rPr>
          <w:rPr>
            <w:rFonts w:ascii="Cambria Math" w:hAnsi="Cambria Math"/>
          </w:rPr>
          <m:t>/2</m:t>
        </m:r>
      </m:oMath>
      <w:r>
        <w:rPr>
          <w:rStyle w:val="af2"/>
        </w:rPr>
        <w:t>，如图</w:t>
      </w:r>
      <w:r>
        <w:rPr>
          <w:rStyle w:val="af2"/>
        </w:rPr>
        <w:t>1</w:t>
      </w:r>
      <w:r>
        <w:rPr>
          <w:rStyle w:val="af2"/>
        </w:rPr>
        <w:t>所示，此时式</w:t>
      </w:r>
      <w:r>
        <w:rPr>
          <w:rStyle w:val="af2"/>
          <w:rFonts w:ascii="宋体" w:eastAsia="宋体" w:hAnsi="宋体"/>
        </w:rPr>
        <w:t>（</w:t>
      </w:r>
      <w:r>
        <w:rPr>
          <w:rStyle w:val="af2"/>
        </w:rPr>
        <w:t>1</w:t>
      </w:r>
      <w:r>
        <w:rPr>
          <w:rStyle w:val="af2"/>
          <w:rFonts w:ascii="宋体" w:eastAsia="宋体" w:hAnsi="宋体"/>
        </w:rPr>
        <w:t>）</w:t>
      </w:r>
      <w:r>
        <w:rPr>
          <w:rStyle w:val="af2"/>
        </w:rPr>
        <w:t>变为</w:t>
      </w:r>
    </w:p>
    <w:p w14:paraId="73E8647B" w14:textId="77777777" w:rsidR="009911A0" w:rsidRDefault="002B582B">
      <w:pPr>
        <w:pStyle w:val="Normal4"/>
        <w:jc w:val="center"/>
        <w:rPr>
          <w:rStyle w:val="af2"/>
        </w:rPr>
      </w:pPr>
      <m:oMathPara>
        <m:oMath>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m:t>
          </m:r>
          <m:f>
            <m:fPr>
              <m:ctrlPr>
                <w:rPr>
                  <w:rFonts w:ascii="Cambria Math" w:hAnsi="Cambria Math"/>
                </w:rPr>
              </m:ctrlPr>
            </m:fPr>
            <m:num>
              <m:r>
                <w:rPr>
                  <w:rFonts w:ascii="Cambria Math" w:hAnsi="Cambria Math"/>
                </w:rPr>
                <m:t>K</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w:rPr>
                  <w:rFonts w:ascii="Cambria Math" w:hAnsi="Cambria Math"/>
                </w:rPr>
                <m:t>K</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sSup>
                <m:sSupPr>
                  <m:ctrlPr>
                    <w:rPr>
                      <w:rFonts w:ascii="Cambria Math" w:hAnsi="Cambria Math"/>
                    </w:rPr>
                  </m:ctrlPr>
                </m:sSupPr>
                <m:e>
                  <m:r>
                    <m:rPr>
                      <m:sty m:val="p"/>
                    </m:rPr>
                    <w:rPr>
                      <w:rFonts w:ascii="Cambria Math" w:hAnsi="Cambria Math"/>
                    </w:rPr>
                    <m:t>e</m:t>
                  </m:r>
                </m:e>
                <m:sup>
                  <m:r>
                    <w:rPr>
                      <w:rFonts w:ascii="Cambria Math" w:hAnsi="Cambria Math"/>
                    </w:rPr>
                    <m:t>rx</m:t>
                  </m:r>
                </m:sup>
              </m:sSup>
            </m:num>
            <m:den>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e</m:t>
                  </m:r>
                </m:e>
                <m:sup>
                  <m:r>
                    <w:rPr>
                      <w:rFonts w:ascii="Cambria Math" w:hAnsi="Cambria Math"/>
                    </w:rPr>
                    <m:t>rx</m:t>
                  </m:r>
                </m:sup>
              </m:sSup>
              <m:r>
                <m:rPr>
                  <m:sty m:val="p"/>
                </m:rPr>
                <w:rPr>
                  <w:rFonts w:ascii="Cambria Math" w:hAnsi="Cambria Math"/>
                </w:rPr>
                <m:t>-1)</m:t>
              </m:r>
            </m:den>
          </m:f>
          <m:r>
            <m:rPr>
              <m:sty m:val="p"/>
            </m:rPr>
            <w:rPr>
              <w:rFonts w:ascii="Cambria Math" w:hAnsi="Cambria Math"/>
            </w:rPr>
            <m:t>=</m:t>
          </m:r>
          <m:f>
            <m:fPr>
              <m:ctrlPr>
                <w:rPr>
                  <w:rFonts w:ascii="Cambria Math" w:hAnsi="Cambria Math"/>
                </w:rPr>
              </m:ctrlPr>
            </m:fPr>
            <m:num>
              <m:r>
                <w:rPr>
                  <w:rFonts w:ascii="Cambria Math" w:hAnsi="Cambria Math"/>
                </w:rPr>
                <m:t>K</m:t>
              </m:r>
              <m:sSup>
                <m:sSupPr>
                  <m:ctrlPr>
                    <w:rPr>
                      <w:rFonts w:ascii="Cambria Math" w:hAnsi="Cambria Math"/>
                    </w:rPr>
                  </m:ctrlPr>
                </m:sSupPr>
                <m:e>
                  <m:r>
                    <m:rPr>
                      <m:sty m:val="p"/>
                    </m:rPr>
                    <w:rPr>
                      <w:rFonts w:ascii="Cambria Math" w:hAnsi="Cambria Math"/>
                    </w:rPr>
                    <m:t>e</m:t>
                  </m:r>
                </m:e>
                <m:sup>
                  <m:r>
                    <w:rPr>
                      <w:rFonts w:ascii="Cambria Math" w:hAnsi="Cambria Math"/>
                    </w:rPr>
                    <m:t>rx</m:t>
                  </m:r>
                </m:sup>
              </m:sSup>
            </m:num>
            <m:den>
              <m:sSup>
                <m:sSupPr>
                  <m:ctrlPr>
                    <w:rPr>
                      <w:rFonts w:ascii="Cambria Math" w:hAnsi="Cambria Math"/>
                    </w:rPr>
                  </m:ctrlPr>
                </m:sSupPr>
                <m:e>
                  <m:r>
                    <m:rPr>
                      <m:sty m:val="p"/>
                    </m:rPr>
                    <w:rPr>
                      <w:rFonts w:ascii="Cambria Math" w:hAnsi="Cambria Math"/>
                    </w:rPr>
                    <m:t>e</m:t>
                  </m:r>
                </m:e>
                <m:sup>
                  <m:r>
                    <w:rPr>
                      <w:rFonts w:ascii="Cambria Math" w:hAnsi="Cambria Math"/>
                    </w:rPr>
                    <m:t>rx</m:t>
                  </m:r>
                </m:sup>
              </m:sSup>
              <m:r>
                <m:rPr>
                  <m:sty m:val="p"/>
                </m:rPr>
                <w:rPr>
                  <w:rFonts w:ascii="Cambria Math" w:hAnsi="Cambria Math"/>
                </w:rPr>
                <m:t>+1</m:t>
              </m:r>
            </m:den>
          </m:f>
        </m:oMath>
      </m:oMathPara>
    </w:p>
    <w:p w14:paraId="3563B89F" w14:textId="77777777" w:rsidR="009911A0" w:rsidRDefault="002B582B" w:rsidP="002344C4">
      <w:pPr>
        <w:pStyle w:val="Normalwrd1"/>
        <w:ind w:firstLineChars="200" w:firstLine="420"/>
        <w:jc w:val="center"/>
        <w:rPr>
          <w:rStyle w:val="af2"/>
          <w:rFonts w:ascii="黑体" w:eastAsia="黑体" w:hAnsi="黑体"/>
          <w:b/>
          <w:sz w:val="18"/>
          <w:szCs w:val="18"/>
        </w:rPr>
      </w:pPr>
      <w:r>
        <w:rPr>
          <w:noProof/>
        </w:rPr>
        <w:lastRenderedPageBreak/>
        <w:drawing>
          <wp:inline distT="0" distB="0" distL="0" distR="0" wp14:anchorId="19C88480" wp14:editId="3C8FE75C">
            <wp:extent cx="2592000" cy="1764000"/>
            <wp:effectExtent l="0" t="0" r="0" b="0"/>
            <wp:docPr id="24"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pic:nvPicPr>
                  <pic:blipFill>
                    <a:blip r:embed="rId11"/>
                    <a:stretch>
                      <a:fillRect/>
                    </a:stretch>
                  </pic:blipFill>
                  <pic:spPr>
                    <a:xfrm>
                      <a:off x="0" y="0"/>
                      <a:ext cx="2592000" cy="1764000"/>
                    </a:xfrm>
                    <a:prstGeom prst="rect">
                      <a:avLst/>
                    </a:prstGeom>
                  </pic:spPr>
                </pic:pic>
              </a:graphicData>
            </a:graphic>
          </wp:inline>
        </w:drawing>
      </w:r>
    </w:p>
    <w:p w14:paraId="4DAE8201" w14:textId="77777777" w:rsidR="009911A0" w:rsidRDefault="002B582B" w:rsidP="002344C4">
      <w:pPr>
        <w:pStyle w:val="Normalwrd1"/>
        <w:ind w:firstLineChars="200" w:firstLine="361"/>
        <w:jc w:val="center"/>
        <w:rPr>
          <w:rStyle w:val="af2"/>
          <w:rFonts w:ascii="黑体" w:eastAsia="黑体" w:hAnsi="黑体"/>
          <w:b/>
          <w:sz w:val="18"/>
          <w:szCs w:val="18"/>
        </w:rPr>
      </w:pPr>
      <w:r>
        <w:rPr>
          <w:rStyle w:val="af2"/>
          <w:rFonts w:ascii="黑体" w:eastAsia="黑体" w:hAnsi="黑体"/>
          <w:b/>
          <w:sz w:val="18"/>
          <w:szCs w:val="18"/>
        </w:rPr>
        <w:t>图</w:t>
      </w:r>
      <w:r>
        <w:rPr>
          <w:rStyle w:val="af2"/>
          <w:b/>
          <w:sz w:val="18"/>
          <w:szCs w:val="18"/>
        </w:rPr>
        <w:t xml:space="preserve"> 1</w:t>
      </w:r>
      <w:r>
        <w:rPr>
          <w:rStyle w:val="af2"/>
          <w:rFonts w:ascii="黑体" w:eastAsia="黑体" w:hAnsi="黑体"/>
          <w:b/>
          <w:sz w:val="18"/>
          <w:szCs w:val="18"/>
        </w:rPr>
        <w:t xml:space="preserve">  经数学变换后的</w:t>
      </w:r>
      <w:r>
        <w:rPr>
          <w:rStyle w:val="af2"/>
          <w:b/>
          <w:sz w:val="18"/>
          <w:szCs w:val="18"/>
        </w:rPr>
        <w:t>Logistic</w:t>
      </w:r>
      <w:r>
        <w:rPr>
          <w:rStyle w:val="af2"/>
          <w:rFonts w:ascii="黑体" w:eastAsia="黑体" w:hAnsi="黑体"/>
          <w:b/>
          <w:sz w:val="18"/>
          <w:szCs w:val="18"/>
        </w:rPr>
        <w:t>函数</w:t>
      </w:r>
    </w:p>
    <w:p w14:paraId="3ABE3CD3" w14:textId="77777777" w:rsidR="00A74AAF" w:rsidRPr="0050586C" w:rsidRDefault="00A74AAF" w:rsidP="00A74AAF">
      <w:pPr>
        <w:pStyle w:val="Normalwrd1"/>
        <w:ind w:firstLineChars="200" w:firstLine="361"/>
        <w:jc w:val="center"/>
        <w:rPr>
          <w:rStyle w:val="af2"/>
          <w:rFonts w:cs="Times New Roman"/>
        </w:rPr>
      </w:pPr>
      <w:r w:rsidRPr="0050586C">
        <w:rPr>
          <w:rStyle w:val="af2"/>
          <w:rFonts w:eastAsia="黑体" w:cs="Times New Roman"/>
          <w:b/>
          <w:sz w:val="18"/>
          <w:szCs w:val="18"/>
        </w:rPr>
        <w:t>Fig.1 Logistic function processed by mathematical manipulation</w:t>
      </w:r>
    </w:p>
    <w:p w14:paraId="2F304A0A" w14:textId="77777777" w:rsidR="009911A0" w:rsidRDefault="002B582B" w:rsidP="002344C4">
      <w:pPr>
        <w:pStyle w:val="Normalwrd1"/>
        <w:ind w:firstLineChars="200" w:firstLine="420"/>
        <w:rPr>
          <w:rStyle w:val="af2"/>
        </w:rPr>
      </w:pPr>
      <w:r>
        <w:rPr>
          <w:rStyle w:val="af2"/>
        </w:rPr>
        <w:t>由图</w:t>
      </w:r>
      <w:r>
        <w:rPr>
          <w:rStyle w:val="af2"/>
        </w:rPr>
        <w:t>1</w:t>
      </w:r>
      <w:r>
        <w:rPr>
          <w:rStyle w:val="af2"/>
        </w:rPr>
        <w:t>可知，经过数学变换后的函数定义域仍为</w:t>
      </w:r>
      <m:oMath>
        <m:r>
          <m:rPr>
            <m:sty m:val="p"/>
          </m:rPr>
          <w:rPr>
            <w:rFonts w:ascii="Cambria Math" w:hAnsi="Cambria Math"/>
          </w:rPr>
          <m:t>(-</m:t>
        </m:r>
        <m:r>
          <w:rPr>
            <w:rFonts w:ascii="Cambria Math" w:hAnsi="Cambria Math"/>
          </w:rPr>
          <m:t>∞</m:t>
        </m:r>
        <m:r>
          <m:rPr>
            <m:sty m:val="p"/>
          </m:rPr>
          <w:rPr>
            <w:rFonts w:ascii="Cambria Math" w:hAnsi="Cambria Math"/>
          </w:rPr>
          <m:t>,+</m:t>
        </m:r>
        <m:r>
          <w:rPr>
            <w:rFonts w:ascii="Cambria Math" w:hAnsi="Cambria Math"/>
          </w:rPr>
          <m:t>∞</m:t>
        </m:r>
        <m:r>
          <m:rPr>
            <m:sty m:val="p"/>
          </m:rPr>
          <w:rPr>
            <w:rFonts w:ascii="Cambria Math" w:hAnsi="Cambria Math"/>
          </w:rPr>
          <m:t>)</m:t>
        </m:r>
      </m:oMath>
      <w:r>
        <w:rPr>
          <w:rStyle w:val="af2"/>
        </w:rPr>
        <w:t>，值域变为</w:t>
      </w:r>
      <m:oMath>
        <m:r>
          <m:rPr>
            <m:sty m:val="p"/>
          </m:rPr>
          <w:rPr>
            <w:rFonts w:ascii="Cambria Math" w:hAnsi="Cambria Math"/>
          </w:rPr>
          <m:t>(</m:t>
        </m:r>
        <m:f>
          <m:fPr>
            <m:type m:val="lin"/>
            <m:ctrlPr>
              <w:rPr>
                <w:rFonts w:ascii="Cambria Math" w:hAnsi="Cambria Math"/>
              </w:rPr>
            </m:ctrlPr>
          </m:fPr>
          <m:num>
            <m:r>
              <m:rPr>
                <m:sty m:val="p"/>
              </m:rPr>
              <w:rPr>
                <w:rFonts w:ascii="Cambria Math" w:hAnsi="Cambria Math"/>
              </w:rPr>
              <m:t>-</m:t>
            </m:r>
            <m:r>
              <w:rPr>
                <w:rFonts w:ascii="Cambria Math" w:hAnsi="Cambria Math"/>
              </w:rPr>
              <m:t>K</m:t>
            </m:r>
          </m:num>
          <m:den>
            <m:r>
              <m:rPr>
                <m:sty m:val="p"/>
              </m:rPr>
              <w:rPr>
                <w:rFonts w:ascii="Cambria Math" w:hAnsi="Cambria Math"/>
              </w:rPr>
              <m:t>2</m:t>
            </m:r>
          </m:den>
        </m:f>
        <m:r>
          <m:rPr>
            <m:sty m:val="p"/>
          </m:rPr>
          <w:rPr>
            <w:rFonts w:ascii="Cambria Math" w:hAnsi="Cambria Math"/>
          </w:rPr>
          <m:t>,</m:t>
        </m:r>
        <m:f>
          <m:fPr>
            <m:type m:val="lin"/>
            <m:ctrlPr>
              <w:rPr>
                <w:rFonts w:ascii="Cambria Math" w:hAnsi="Cambria Math"/>
              </w:rPr>
            </m:ctrlPr>
          </m:fPr>
          <m:num>
            <m:r>
              <w:rPr>
                <w:rFonts w:ascii="Cambria Math" w:hAnsi="Cambria Math"/>
              </w:rPr>
              <m:t>K</m:t>
            </m:r>
          </m:num>
          <m:den>
            <m:r>
              <m:rPr>
                <m:sty m:val="p"/>
              </m:rPr>
              <w:rPr>
                <w:rFonts w:ascii="Cambria Math" w:hAnsi="Cambria Math"/>
              </w:rPr>
              <m:t>2</m:t>
            </m:r>
          </m:den>
        </m:f>
        <m:r>
          <m:rPr>
            <m:sty m:val="p"/>
          </m:rPr>
          <w:rPr>
            <w:rFonts w:ascii="Cambria Math" w:hAnsi="Cambria Math"/>
          </w:rPr>
          <m:t>)</m:t>
        </m:r>
      </m:oMath>
      <w:r>
        <w:rPr>
          <w:rStyle w:val="af2"/>
        </w:rPr>
        <w:t>。而经过简单的数学变换之后，新函数与土体应力</w:t>
      </w:r>
      <w:r>
        <w:rPr>
          <w:rStyle w:val="af2"/>
          <w:rFonts w:ascii="宋体" w:eastAsia="宋体" w:hAnsi="宋体"/>
        </w:rPr>
        <w:t>-</w:t>
      </w:r>
      <w:r>
        <w:rPr>
          <w:rStyle w:val="af2"/>
        </w:rPr>
        <w:t>应变骨架曲线具有相似的形状。除此之外，根据该函数的图像性质发现，其满足构造土体非线性</w:t>
      </w:r>
      <w:proofErr w:type="gramStart"/>
      <w:r>
        <w:rPr>
          <w:rStyle w:val="af2"/>
        </w:rPr>
        <w:t>动力本构模型</w:t>
      </w:r>
      <w:proofErr w:type="gramEnd"/>
      <w:r>
        <w:rPr>
          <w:rStyle w:val="af2"/>
        </w:rPr>
        <w:t>的基本原则，因此，可基于该函数构造土体非线性</w:t>
      </w:r>
      <w:proofErr w:type="gramStart"/>
      <w:r>
        <w:rPr>
          <w:rStyle w:val="af2"/>
        </w:rPr>
        <w:t>动力本构模型</w:t>
      </w:r>
      <w:proofErr w:type="gramEnd"/>
      <w:r>
        <w:rPr>
          <w:rStyle w:val="af2"/>
        </w:rPr>
        <w:t>。构造步骤简述如下：首先构造骨架曲线，然后根据骨架曲线构造</w:t>
      </w:r>
      <w:proofErr w:type="gramStart"/>
      <w:r>
        <w:rPr>
          <w:rStyle w:val="af2"/>
        </w:rPr>
        <w:t>后继滞回曲线</w:t>
      </w:r>
      <w:proofErr w:type="gramEnd"/>
      <w:r>
        <w:rPr>
          <w:rStyle w:val="af2"/>
        </w:rPr>
        <w:t>。</w:t>
      </w:r>
    </w:p>
    <w:p w14:paraId="6A951DDF" w14:textId="77777777" w:rsidR="009911A0" w:rsidRDefault="002B582B" w:rsidP="00245684">
      <w:pPr>
        <w:pStyle w:val="Normalwrd1"/>
        <w:spacing w:beforeLines="100" w:before="240" w:afterLines="100" w:after="240"/>
        <w:rPr>
          <w:rStyle w:val="af2"/>
          <w:rFonts w:ascii="黑体" w:eastAsia="黑体" w:hAnsi="黑体"/>
        </w:rPr>
      </w:pPr>
      <w:r>
        <w:rPr>
          <w:rStyle w:val="af2"/>
          <w:b/>
        </w:rPr>
        <w:t>2</w:t>
      </w:r>
      <w:r w:rsidR="00DC3581">
        <w:rPr>
          <w:rStyle w:val="af2"/>
          <w:rFonts w:eastAsia="黑体" w:hint="eastAsia"/>
          <w:b/>
        </w:rPr>
        <w:t xml:space="preserve">  </w:t>
      </w:r>
      <w:r>
        <w:rPr>
          <w:rStyle w:val="af2"/>
          <w:rFonts w:eastAsia="黑体"/>
          <w:b/>
        </w:rPr>
        <w:t>基于</w:t>
      </w:r>
      <w:r>
        <w:rPr>
          <w:rStyle w:val="af2"/>
          <w:rFonts w:ascii="方正科技符号" w:eastAsia="方正科技符号" w:hAnsi="方正科技符号"/>
          <w:b/>
        </w:rPr>
        <w:t>Logistic</w:t>
      </w:r>
      <w:r>
        <w:rPr>
          <w:rStyle w:val="af2"/>
          <w:rFonts w:eastAsia="黑体"/>
          <w:b/>
        </w:rPr>
        <w:t>函数的土体非线性</w:t>
      </w:r>
      <w:proofErr w:type="gramStart"/>
      <w:r>
        <w:rPr>
          <w:rStyle w:val="af2"/>
          <w:rFonts w:eastAsia="黑体"/>
          <w:b/>
        </w:rPr>
        <w:t>动力本构模型</w:t>
      </w:r>
      <w:proofErr w:type="gramEnd"/>
      <w:r>
        <w:rPr>
          <w:rStyle w:val="af2"/>
          <w:rFonts w:eastAsia="黑体"/>
          <w:b/>
        </w:rPr>
        <w:t>的构造及验证</w:t>
      </w:r>
    </w:p>
    <w:p w14:paraId="75A7F5B6" w14:textId="77777777" w:rsidR="009911A0" w:rsidRDefault="002B582B">
      <w:pPr>
        <w:pStyle w:val="Normalwrd1"/>
        <w:rPr>
          <w:rStyle w:val="af2"/>
        </w:rPr>
      </w:pPr>
      <w:r>
        <w:rPr>
          <w:rStyle w:val="af2"/>
          <w:rFonts w:ascii="宋体" w:eastAsia="宋体" w:hAnsi="宋体"/>
        </w:rPr>
        <w:t xml:space="preserve">2.1 </w:t>
      </w:r>
      <w:r>
        <w:rPr>
          <w:rStyle w:val="af2"/>
          <w:rFonts w:ascii="楷体" w:eastAsia="楷体" w:hAnsi="楷体"/>
        </w:rPr>
        <w:t xml:space="preserve"> 骨架曲线构造</w:t>
      </w:r>
    </w:p>
    <w:p w14:paraId="478A3111" w14:textId="77777777" w:rsidR="009911A0" w:rsidRDefault="00DC3581" w:rsidP="002344C4">
      <w:pPr>
        <w:pStyle w:val="Normalwrd1"/>
        <w:ind w:firstLineChars="200" w:firstLine="420"/>
        <w:rPr>
          <w:rStyle w:val="af2"/>
        </w:rPr>
      </w:pPr>
      <w:r>
        <w:rPr>
          <w:rStyle w:val="af2"/>
          <w:rFonts w:hint="eastAsia"/>
        </w:rPr>
        <w:t>×××××××××××××××××××××××××××××××××××××××××××</w:t>
      </w:r>
      <w:r w:rsidR="001E6ABC">
        <w:rPr>
          <w:rStyle w:val="af2"/>
          <w:rFonts w:hint="eastAsia"/>
        </w:rPr>
        <w:t>××××××××</w:t>
      </w:r>
      <w:r w:rsidR="0050586C">
        <w:rPr>
          <w:rStyle w:val="af2"/>
          <w:rFonts w:hint="eastAsia"/>
        </w:rPr>
        <w:t>×××××××××××××××××××××××××××××××××××××××××××××××××××××××××××××××××××××××××××××××××××××××××××××××××××××××××××××××××××××××××××××××××××××××××××××××××××××××××××××××××××××××××××××××××××××××××××××××××××××××××××××××××××××××××××××××××××××××××××××××××××××××××××××××××××××××××××××××××××××××××××××××××××××××××××××××××××××××××××××××××××××××××××××××××××××××××××××××××××××</w:t>
      </w:r>
      <w:r>
        <w:rPr>
          <w:rStyle w:val="af2"/>
          <w:rFonts w:hint="eastAsia"/>
        </w:rPr>
        <w:t>。</w:t>
      </w:r>
    </w:p>
    <w:p w14:paraId="1B892D06" w14:textId="77777777" w:rsidR="009911A0" w:rsidRDefault="002B582B">
      <w:pPr>
        <w:pStyle w:val="Normalwrd2"/>
        <w:jc w:val="center"/>
        <w:rPr>
          <w:rStyle w:val="af2"/>
          <w:rFonts w:ascii="黑体" w:eastAsia="黑体" w:hAnsi="黑体"/>
          <w:b/>
          <w:sz w:val="18"/>
          <w:szCs w:val="18"/>
        </w:rPr>
      </w:pPr>
      <w:r>
        <w:rPr>
          <w:rStyle w:val="af2"/>
          <w:rFonts w:ascii="黑体" w:eastAsia="黑体" w:hAnsi="黑体"/>
          <w:b/>
          <w:sz w:val="18"/>
          <w:szCs w:val="18"/>
        </w:rPr>
        <w:t>表</w:t>
      </w:r>
      <w:r>
        <w:rPr>
          <w:rStyle w:val="af2"/>
          <w:b/>
          <w:sz w:val="18"/>
          <w:szCs w:val="18"/>
        </w:rPr>
        <w:t xml:space="preserve"> 1</w:t>
      </w:r>
      <w:r>
        <w:rPr>
          <w:rStyle w:val="af2"/>
          <w:rFonts w:ascii="黑体" w:eastAsia="黑体" w:hAnsi="黑体"/>
          <w:b/>
          <w:sz w:val="18"/>
          <w:szCs w:val="18"/>
        </w:rPr>
        <w:t xml:space="preserve">  典型上海软土各土层剪切模量比</w:t>
      </w:r>
    </w:p>
    <w:p w14:paraId="7890FC78" w14:textId="77777777" w:rsidR="0050586C" w:rsidRPr="0050586C" w:rsidRDefault="0050586C">
      <w:pPr>
        <w:pStyle w:val="Normalwrd2"/>
        <w:jc w:val="center"/>
        <w:rPr>
          <w:rStyle w:val="af2"/>
          <w:rFonts w:cs="Times New Roman"/>
          <w:b/>
        </w:rPr>
      </w:pPr>
      <w:r w:rsidRPr="0050586C">
        <w:rPr>
          <w:rStyle w:val="af2"/>
          <w:rFonts w:eastAsia="黑体" w:cs="Times New Roman"/>
          <w:b/>
          <w:sz w:val="18"/>
          <w:szCs w:val="18"/>
        </w:rPr>
        <w:t>Tab.1 The shear modulus rates of typical soft soil sits in Shanghai</w:t>
      </w:r>
    </w:p>
    <w:tbl>
      <w:tblPr>
        <w:tblW w:w="0" w:type="auto"/>
        <w:jc w:val="center"/>
        <w:tblBorders>
          <w:top w:val="single" w:sz="7" w:space="0" w:color="auto"/>
          <w:left w:val="nil"/>
          <w:bottom w:val="single" w:sz="7" w:space="0" w:color="auto"/>
          <w:right w:val="nil"/>
        </w:tblBorders>
        <w:tblLook w:val="04A0" w:firstRow="1" w:lastRow="0" w:firstColumn="1" w:lastColumn="0" w:noHBand="0" w:noVBand="1"/>
      </w:tblPr>
      <w:tblGrid>
        <w:gridCol w:w="1267"/>
        <w:gridCol w:w="1165"/>
        <w:gridCol w:w="1226"/>
        <w:gridCol w:w="1223"/>
        <w:gridCol w:w="1223"/>
        <w:gridCol w:w="1223"/>
        <w:gridCol w:w="1201"/>
      </w:tblGrid>
      <w:tr w:rsidR="009911A0" w14:paraId="7F1D2363" w14:textId="77777777">
        <w:trPr>
          <w:trHeight w:val="356"/>
          <w:jc w:val="center"/>
        </w:trPr>
        <w:tc>
          <w:tcPr>
            <w:tcW w:w="1267" w:type="dxa"/>
            <w:vMerge w:val="restart"/>
            <w:tcBorders>
              <w:top w:val="single" w:sz="7" w:space="0" w:color="auto"/>
              <w:left w:val="nil"/>
              <w:bottom w:val="single" w:sz="3" w:space="0" w:color="auto"/>
              <w:right w:val="nil"/>
            </w:tcBorders>
            <w:tcMar>
              <w:top w:w="0" w:type="dxa"/>
              <w:left w:w="43" w:type="dxa"/>
              <w:bottom w:w="0" w:type="dxa"/>
              <w:right w:w="43" w:type="dxa"/>
            </w:tcMar>
            <w:vAlign w:val="center"/>
          </w:tcPr>
          <w:p w14:paraId="6D3277C2" w14:textId="77777777" w:rsidR="009911A0" w:rsidRDefault="002B582B">
            <w:pPr>
              <w:pStyle w:val="Normal4"/>
              <w:tabs>
                <w:tab w:val="left" w:pos="720"/>
              </w:tabs>
              <w:jc w:val="center"/>
              <w:rPr>
                <w:sz w:val="18"/>
                <w:szCs w:val="18"/>
              </w:rPr>
            </w:pPr>
            <m:oMath>
              <m:r>
                <w:rPr>
                  <w:rFonts w:ascii="Cambria Math" w:hAnsi="Cambria Math"/>
                </w:rPr>
                <m:t>γ</m:t>
              </m:r>
            </m:oMath>
            <w:r>
              <w:rPr>
                <w:rFonts w:ascii="宋体" w:hAnsi="宋体"/>
                <w:sz w:val="18"/>
                <w:szCs w:val="18"/>
              </w:rPr>
              <w:t>/</w:t>
            </w:r>
            <w:r>
              <w:rPr>
                <w:rFonts w:ascii="Times New Roman" w:hAnsi="Times New Roman"/>
                <w:sz w:val="18"/>
                <w:szCs w:val="18"/>
              </w:rPr>
              <w:t>10</w:t>
            </w:r>
            <w:r>
              <w:rPr>
                <w:rFonts w:ascii="Times New Roman" w:hAnsi="Times New Roman"/>
                <w:sz w:val="18"/>
                <w:szCs w:val="18"/>
                <w:vertAlign w:val="superscript"/>
              </w:rPr>
              <w:t>-5</w:t>
            </w:r>
          </w:p>
        </w:tc>
        <w:tc>
          <w:tcPr>
            <w:tcW w:w="1165" w:type="dxa"/>
            <w:gridSpan w:val="6"/>
            <w:tcBorders>
              <w:top w:val="single" w:sz="7" w:space="0" w:color="auto"/>
              <w:left w:val="nil"/>
              <w:bottom w:val="single" w:sz="3" w:space="0" w:color="auto"/>
              <w:right w:val="nil"/>
            </w:tcBorders>
            <w:tcMar>
              <w:top w:w="0" w:type="dxa"/>
              <w:left w:w="43" w:type="dxa"/>
              <w:bottom w:w="0" w:type="dxa"/>
              <w:right w:w="43" w:type="dxa"/>
            </w:tcMar>
            <w:vAlign w:val="center"/>
          </w:tcPr>
          <w:p w14:paraId="44294A88" w14:textId="77777777" w:rsidR="009911A0" w:rsidRDefault="002B582B">
            <w:pPr>
              <w:pStyle w:val="Normal4"/>
              <w:tabs>
                <w:tab w:val="left" w:pos="720"/>
              </w:tabs>
              <w:jc w:val="center"/>
              <w:rPr>
                <w:sz w:val="18"/>
                <w:szCs w:val="18"/>
              </w:rPr>
            </w:pPr>
            <w:r>
              <w:rPr>
                <w:rFonts w:ascii="方正科技符号" w:eastAsia="方正科技符号" w:hAnsi="方正科技符号"/>
                <w:i/>
                <w:sz w:val="18"/>
                <w:szCs w:val="18"/>
              </w:rPr>
              <w:t>G</w:t>
            </w:r>
            <w:r>
              <w:rPr>
                <w:rFonts w:ascii="宋体" w:hAnsi="宋体"/>
                <w:sz w:val="18"/>
                <w:szCs w:val="18"/>
              </w:rPr>
              <w:t>/</w:t>
            </w:r>
            <w:proofErr w:type="spellStart"/>
            <w:r>
              <w:rPr>
                <w:rFonts w:ascii="方正科技符号" w:eastAsia="方正科技符号" w:hAnsi="方正科技符号"/>
                <w:i/>
                <w:sz w:val="18"/>
                <w:szCs w:val="18"/>
              </w:rPr>
              <w:t>G</w:t>
            </w:r>
            <w:r>
              <w:rPr>
                <w:rFonts w:ascii="方正科技符号" w:eastAsia="方正科技符号" w:hAnsi="方正科技符号"/>
                <w:sz w:val="18"/>
                <w:szCs w:val="18"/>
                <w:vertAlign w:val="subscript"/>
              </w:rPr>
              <w:t>max</w:t>
            </w:r>
            <w:proofErr w:type="spellEnd"/>
          </w:p>
        </w:tc>
      </w:tr>
      <w:tr w:rsidR="009911A0" w14:paraId="6C7D647A" w14:textId="77777777">
        <w:trPr>
          <w:trHeight w:val="356"/>
          <w:jc w:val="center"/>
        </w:trPr>
        <w:tc>
          <w:tcPr>
            <w:tcW w:w="1267" w:type="dxa"/>
            <w:vMerge/>
            <w:tcBorders>
              <w:top w:val="single" w:sz="7" w:space="0" w:color="auto"/>
              <w:left w:val="nil"/>
              <w:bottom w:val="single" w:sz="3" w:space="0" w:color="auto"/>
              <w:right w:val="nil"/>
            </w:tcBorders>
            <w:tcMar>
              <w:top w:w="0" w:type="dxa"/>
              <w:left w:w="43" w:type="dxa"/>
              <w:bottom w:w="0" w:type="dxa"/>
              <w:right w:w="43" w:type="dxa"/>
            </w:tcMar>
            <w:vAlign w:val="center"/>
          </w:tcPr>
          <w:p w14:paraId="1BE380F5" w14:textId="77777777" w:rsidR="009911A0" w:rsidRDefault="009911A0"/>
        </w:tc>
        <w:tc>
          <w:tcPr>
            <w:tcW w:w="1165" w:type="dxa"/>
            <w:tcBorders>
              <w:top w:val="single" w:sz="3" w:space="0" w:color="auto"/>
              <w:left w:val="nil"/>
              <w:bottom w:val="single" w:sz="3" w:space="0" w:color="auto"/>
              <w:right w:val="nil"/>
            </w:tcBorders>
            <w:tcMar>
              <w:top w:w="0" w:type="dxa"/>
              <w:left w:w="43" w:type="dxa"/>
              <w:bottom w:w="0" w:type="dxa"/>
              <w:right w:w="43" w:type="dxa"/>
            </w:tcMar>
            <w:vAlign w:val="center"/>
          </w:tcPr>
          <w:p w14:paraId="01D6F161" w14:textId="77777777" w:rsidR="009911A0" w:rsidRDefault="002B582B">
            <w:pPr>
              <w:pStyle w:val="Normal4"/>
              <w:tabs>
                <w:tab w:val="left" w:pos="720"/>
              </w:tabs>
              <w:jc w:val="center"/>
              <w:rPr>
                <w:sz w:val="18"/>
                <w:szCs w:val="18"/>
              </w:rPr>
            </w:pPr>
            <w:r>
              <w:rPr>
                <w:rFonts w:ascii="Times New Roman" w:hAnsi="Times New Roman"/>
                <w:sz w:val="18"/>
                <w:szCs w:val="18"/>
              </w:rPr>
              <w:t>1</w:t>
            </w:r>
            <w:r>
              <w:rPr>
                <w:rFonts w:ascii="宋体" w:hAnsi="宋体"/>
                <w:sz w:val="18"/>
                <w:szCs w:val="18"/>
                <w:vertAlign w:val="superscript"/>
              </w:rPr>
              <w:t>#</w:t>
            </w:r>
          </w:p>
        </w:tc>
        <w:tc>
          <w:tcPr>
            <w:tcW w:w="1226" w:type="dxa"/>
            <w:tcBorders>
              <w:top w:val="single" w:sz="3" w:space="0" w:color="auto"/>
              <w:left w:val="nil"/>
              <w:bottom w:val="single" w:sz="3" w:space="0" w:color="auto"/>
              <w:right w:val="nil"/>
            </w:tcBorders>
            <w:tcMar>
              <w:top w:w="0" w:type="dxa"/>
              <w:left w:w="43" w:type="dxa"/>
              <w:bottom w:w="0" w:type="dxa"/>
              <w:right w:w="43" w:type="dxa"/>
            </w:tcMar>
            <w:vAlign w:val="center"/>
          </w:tcPr>
          <w:p w14:paraId="2DF6B675" w14:textId="77777777" w:rsidR="009911A0" w:rsidRDefault="002B582B">
            <w:pPr>
              <w:pStyle w:val="Normal4"/>
              <w:tabs>
                <w:tab w:val="left" w:pos="720"/>
              </w:tabs>
              <w:jc w:val="center"/>
              <w:rPr>
                <w:sz w:val="18"/>
                <w:szCs w:val="18"/>
              </w:rPr>
            </w:pPr>
            <w:r>
              <w:rPr>
                <w:rFonts w:ascii="Times New Roman" w:hAnsi="Times New Roman"/>
                <w:sz w:val="18"/>
                <w:szCs w:val="18"/>
              </w:rPr>
              <w:t>2</w:t>
            </w:r>
            <w:r>
              <w:rPr>
                <w:rFonts w:ascii="宋体" w:hAnsi="宋体"/>
                <w:sz w:val="18"/>
                <w:szCs w:val="18"/>
                <w:vertAlign w:val="superscript"/>
              </w:rPr>
              <w:t>#</w:t>
            </w:r>
          </w:p>
        </w:tc>
        <w:tc>
          <w:tcPr>
            <w:tcW w:w="1223" w:type="dxa"/>
            <w:tcBorders>
              <w:top w:val="single" w:sz="3" w:space="0" w:color="auto"/>
              <w:left w:val="nil"/>
              <w:bottom w:val="single" w:sz="3" w:space="0" w:color="auto"/>
              <w:right w:val="nil"/>
            </w:tcBorders>
            <w:tcMar>
              <w:top w:w="0" w:type="dxa"/>
              <w:left w:w="43" w:type="dxa"/>
              <w:bottom w:w="0" w:type="dxa"/>
              <w:right w:w="43" w:type="dxa"/>
            </w:tcMar>
            <w:vAlign w:val="center"/>
          </w:tcPr>
          <w:p w14:paraId="6CC28464" w14:textId="77777777" w:rsidR="009911A0" w:rsidRDefault="002B582B">
            <w:pPr>
              <w:pStyle w:val="Normal4"/>
              <w:tabs>
                <w:tab w:val="left" w:pos="720"/>
              </w:tabs>
              <w:jc w:val="center"/>
              <w:rPr>
                <w:sz w:val="18"/>
                <w:szCs w:val="18"/>
              </w:rPr>
            </w:pPr>
            <w:r>
              <w:rPr>
                <w:rFonts w:ascii="Times New Roman" w:hAnsi="Times New Roman"/>
                <w:sz w:val="18"/>
                <w:szCs w:val="18"/>
              </w:rPr>
              <w:t>3</w:t>
            </w:r>
            <w:r>
              <w:rPr>
                <w:rFonts w:ascii="宋体" w:hAnsi="宋体"/>
                <w:sz w:val="18"/>
                <w:szCs w:val="18"/>
                <w:vertAlign w:val="superscript"/>
              </w:rPr>
              <w:t>#</w:t>
            </w:r>
          </w:p>
        </w:tc>
        <w:tc>
          <w:tcPr>
            <w:tcW w:w="1223" w:type="dxa"/>
            <w:tcBorders>
              <w:top w:val="single" w:sz="3" w:space="0" w:color="auto"/>
              <w:left w:val="nil"/>
              <w:bottom w:val="single" w:sz="3" w:space="0" w:color="auto"/>
              <w:right w:val="nil"/>
            </w:tcBorders>
            <w:tcMar>
              <w:top w:w="0" w:type="dxa"/>
              <w:left w:w="43" w:type="dxa"/>
              <w:bottom w:w="0" w:type="dxa"/>
              <w:right w:w="43" w:type="dxa"/>
            </w:tcMar>
            <w:vAlign w:val="center"/>
          </w:tcPr>
          <w:p w14:paraId="7D5DD1A8" w14:textId="77777777" w:rsidR="009911A0" w:rsidRDefault="002B582B">
            <w:pPr>
              <w:pStyle w:val="Normal4"/>
              <w:tabs>
                <w:tab w:val="left" w:pos="720"/>
              </w:tabs>
              <w:jc w:val="center"/>
              <w:rPr>
                <w:sz w:val="18"/>
                <w:szCs w:val="18"/>
              </w:rPr>
            </w:pPr>
            <w:r>
              <w:rPr>
                <w:rFonts w:ascii="Times New Roman" w:hAnsi="Times New Roman"/>
                <w:sz w:val="18"/>
                <w:szCs w:val="18"/>
              </w:rPr>
              <w:t>4</w:t>
            </w:r>
            <w:r>
              <w:rPr>
                <w:rFonts w:ascii="宋体" w:hAnsi="宋体"/>
                <w:sz w:val="18"/>
                <w:szCs w:val="18"/>
                <w:vertAlign w:val="superscript"/>
              </w:rPr>
              <w:t>#</w:t>
            </w:r>
          </w:p>
        </w:tc>
        <w:tc>
          <w:tcPr>
            <w:tcW w:w="1223" w:type="dxa"/>
            <w:tcBorders>
              <w:top w:val="single" w:sz="3" w:space="0" w:color="auto"/>
              <w:left w:val="nil"/>
              <w:bottom w:val="single" w:sz="3" w:space="0" w:color="auto"/>
              <w:right w:val="nil"/>
            </w:tcBorders>
            <w:tcMar>
              <w:top w:w="0" w:type="dxa"/>
              <w:left w:w="43" w:type="dxa"/>
              <w:bottom w:w="0" w:type="dxa"/>
              <w:right w:w="43" w:type="dxa"/>
            </w:tcMar>
            <w:vAlign w:val="center"/>
          </w:tcPr>
          <w:p w14:paraId="13411870" w14:textId="77777777" w:rsidR="009911A0" w:rsidRDefault="002B582B">
            <w:pPr>
              <w:pStyle w:val="Normal4"/>
              <w:tabs>
                <w:tab w:val="left" w:pos="720"/>
              </w:tabs>
              <w:jc w:val="center"/>
              <w:rPr>
                <w:sz w:val="18"/>
                <w:szCs w:val="18"/>
              </w:rPr>
            </w:pPr>
            <w:r>
              <w:rPr>
                <w:rFonts w:ascii="Times New Roman" w:hAnsi="Times New Roman"/>
                <w:sz w:val="18"/>
                <w:szCs w:val="18"/>
              </w:rPr>
              <w:t>5</w:t>
            </w:r>
            <w:r>
              <w:rPr>
                <w:rFonts w:ascii="宋体" w:hAnsi="宋体"/>
                <w:sz w:val="18"/>
                <w:szCs w:val="18"/>
                <w:vertAlign w:val="superscript"/>
              </w:rPr>
              <w:t>#</w:t>
            </w:r>
          </w:p>
        </w:tc>
        <w:tc>
          <w:tcPr>
            <w:tcW w:w="1201" w:type="dxa"/>
            <w:tcBorders>
              <w:top w:val="single" w:sz="3" w:space="0" w:color="auto"/>
              <w:left w:val="nil"/>
              <w:bottom w:val="single" w:sz="3" w:space="0" w:color="auto"/>
              <w:right w:val="nil"/>
            </w:tcBorders>
            <w:tcMar>
              <w:top w:w="0" w:type="dxa"/>
              <w:left w:w="43" w:type="dxa"/>
              <w:bottom w:w="0" w:type="dxa"/>
              <w:right w:w="43" w:type="dxa"/>
            </w:tcMar>
            <w:vAlign w:val="center"/>
          </w:tcPr>
          <w:p w14:paraId="435344A6" w14:textId="77777777" w:rsidR="009911A0" w:rsidRDefault="002B582B">
            <w:pPr>
              <w:pStyle w:val="Normal4"/>
              <w:tabs>
                <w:tab w:val="left" w:pos="720"/>
              </w:tabs>
              <w:jc w:val="center"/>
              <w:rPr>
                <w:sz w:val="18"/>
                <w:szCs w:val="18"/>
              </w:rPr>
            </w:pPr>
            <w:r>
              <w:rPr>
                <w:rFonts w:ascii="Times New Roman" w:hAnsi="Times New Roman"/>
                <w:sz w:val="18"/>
                <w:szCs w:val="18"/>
              </w:rPr>
              <w:t>6</w:t>
            </w:r>
            <w:r>
              <w:rPr>
                <w:rFonts w:ascii="宋体" w:hAnsi="宋体"/>
                <w:sz w:val="18"/>
                <w:szCs w:val="18"/>
                <w:vertAlign w:val="superscript"/>
              </w:rPr>
              <w:t>#</w:t>
            </w:r>
          </w:p>
        </w:tc>
      </w:tr>
      <w:tr w:rsidR="009911A0" w14:paraId="77FE35ED" w14:textId="77777777">
        <w:trPr>
          <w:trHeight w:val="356"/>
          <w:jc w:val="center"/>
        </w:trPr>
        <w:tc>
          <w:tcPr>
            <w:tcW w:w="1267" w:type="dxa"/>
            <w:tcBorders>
              <w:top w:val="single" w:sz="3" w:space="0" w:color="auto"/>
              <w:left w:val="nil"/>
              <w:bottom w:val="nil"/>
              <w:right w:val="nil"/>
            </w:tcBorders>
            <w:tcMar>
              <w:top w:w="0" w:type="dxa"/>
              <w:left w:w="43" w:type="dxa"/>
              <w:bottom w:w="0" w:type="dxa"/>
              <w:right w:w="43" w:type="dxa"/>
            </w:tcMar>
            <w:vAlign w:val="center"/>
          </w:tcPr>
          <w:p w14:paraId="218483CC" w14:textId="77777777" w:rsidR="009911A0" w:rsidRDefault="002B582B">
            <w:pPr>
              <w:pStyle w:val="Normal4"/>
              <w:tabs>
                <w:tab w:val="left" w:pos="720"/>
              </w:tabs>
              <w:jc w:val="center"/>
              <w:rPr>
                <w:sz w:val="18"/>
                <w:szCs w:val="18"/>
              </w:rPr>
            </w:pPr>
            <w:r>
              <w:rPr>
                <w:rFonts w:ascii="Times New Roman" w:hAnsi="Times New Roman"/>
                <w:sz w:val="18"/>
                <w:szCs w:val="18"/>
              </w:rPr>
              <w:t>0.5</w:t>
            </w:r>
          </w:p>
        </w:tc>
        <w:tc>
          <w:tcPr>
            <w:tcW w:w="1165" w:type="dxa"/>
            <w:tcBorders>
              <w:top w:val="single" w:sz="3" w:space="0" w:color="auto"/>
              <w:left w:val="nil"/>
              <w:bottom w:val="nil"/>
              <w:right w:val="nil"/>
            </w:tcBorders>
            <w:tcMar>
              <w:top w:w="0" w:type="dxa"/>
              <w:left w:w="43" w:type="dxa"/>
              <w:bottom w:w="0" w:type="dxa"/>
              <w:right w:w="43" w:type="dxa"/>
            </w:tcMar>
            <w:vAlign w:val="center"/>
          </w:tcPr>
          <w:p w14:paraId="73C0FD1A" w14:textId="77777777" w:rsidR="009911A0" w:rsidRDefault="002B582B">
            <w:pPr>
              <w:pStyle w:val="Normal4"/>
              <w:jc w:val="center"/>
              <w:rPr>
                <w:sz w:val="18"/>
                <w:szCs w:val="18"/>
              </w:rPr>
            </w:pPr>
            <w:r>
              <w:rPr>
                <w:rFonts w:ascii="Times New Roman" w:hAnsi="Times New Roman"/>
                <w:sz w:val="18"/>
                <w:szCs w:val="18"/>
              </w:rPr>
              <w:t>0.960 0</w:t>
            </w:r>
          </w:p>
        </w:tc>
        <w:tc>
          <w:tcPr>
            <w:tcW w:w="1226" w:type="dxa"/>
            <w:tcBorders>
              <w:top w:val="single" w:sz="3" w:space="0" w:color="auto"/>
              <w:left w:val="nil"/>
              <w:bottom w:val="nil"/>
              <w:right w:val="nil"/>
            </w:tcBorders>
            <w:tcMar>
              <w:top w:w="0" w:type="dxa"/>
              <w:left w:w="43" w:type="dxa"/>
              <w:bottom w:w="0" w:type="dxa"/>
              <w:right w:w="43" w:type="dxa"/>
            </w:tcMar>
            <w:vAlign w:val="center"/>
          </w:tcPr>
          <w:p w14:paraId="4DBAC009" w14:textId="77777777" w:rsidR="009911A0" w:rsidRDefault="002B582B">
            <w:pPr>
              <w:pStyle w:val="Normal4"/>
              <w:jc w:val="center"/>
              <w:rPr>
                <w:sz w:val="18"/>
                <w:szCs w:val="18"/>
              </w:rPr>
            </w:pPr>
            <w:r>
              <w:rPr>
                <w:rFonts w:ascii="Times New Roman" w:hAnsi="Times New Roman"/>
                <w:sz w:val="18"/>
                <w:szCs w:val="18"/>
              </w:rPr>
              <w:t>0.990 4</w:t>
            </w:r>
          </w:p>
        </w:tc>
        <w:tc>
          <w:tcPr>
            <w:tcW w:w="1223" w:type="dxa"/>
            <w:tcBorders>
              <w:top w:val="single" w:sz="3" w:space="0" w:color="auto"/>
              <w:left w:val="nil"/>
              <w:bottom w:val="nil"/>
              <w:right w:val="nil"/>
            </w:tcBorders>
            <w:tcMar>
              <w:top w:w="0" w:type="dxa"/>
              <w:left w:w="43" w:type="dxa"/>
              <w:bottom w:w="0" w:type="dxa"/>
              <w:right w:w="43" w:type="dxa"/>
            </w:tcMar>
            <w:vAlign w:val="center"/>
          </w:tcPr>
          <w:p w14:paraId="10660133" w14:textId="77777777" w:rsidR="009911A0" w:rsidRDefault="002B582B">
            <w:pPr>
              <w:pStyle w:val="Normal4"/>
              <w:jc w:val="center"/>
              <w:rPr>
                <w:sz w:val="18"/>
                <w:szCs w:val="18"/>
              </w:rPr>
            </w:pPr>
            <w:r>
              <w:rPr>
                <w:rFonts w:ascii="Times New Roman" w:hAnsi="Times New Roman"/>
                <w:sz w:val="18"/>
                <w:szCs w:val="18"/>
              </w:rPr>
              <w:t>0.991 5</w:t>
            </w:r>
          </w:p>
        </w:tc>
        <w:tc>
          <w:tcPr>
            <w:tcW w:w="1223" w:type="dxa"/>
            <w:tcBorders>
              <w:top w:val="single" w:sz="3" w:space="0" w:color="auto"/>
              <w:left w:val="nil"/>
              <w:bottom w:val="nil"/>
              <w:right w:val="nil"/>
            </w:tcBorders>
            <w:tcMar>
              <w:top w:w="0" w:type="dxa"/>
              <w:left w:w="43" w:type="dxa"/>
              <w:bottom w:w="0" w:type="dxa"/>
              <w:right w:w="43" w:type="dxa"/>
            </w:tcMar>
            <w:vAlign w:val="center"/>
          </w:tcPr>
          <w:p w14:paraId="3448B288" w14:textId="77777777" w:rsidR="009911A0" w:rsidRDefault="002B582B">
            <w:pPr>
              <w:pStyle w:val="Normal4"/>
              <w:jc w:val="center"/>
              <w:rPr>
                <w:sz w:val="18"/>
                <w:szCs w:val="18"/>
              </w:rPr>
            </w:pPr>
            <w:r>
              <w:rPr>
                <w:rFonts w:ascii="Times New Roman" w:hAnsi="Times New Roman"/>
                <w:sz w:val="18"/>
                <w:szCs w:val="18"/>
              </w:rPr>
              <w:t>0.992 0</w:t>
            </w:r>
          </w:p>
        </w:tc>
        <w:tc>
          <w:tcPr>
            <w:tcW w:w="1223" w:type="dxa"/>
            <w:tcBorders>
              <w:top w:val="single" w:sz="3" w:space="0" w:color="auto"/>
              <w:left w:val="nil"/>
              <w:bottom w:val="nil"/>
              <w:right w:val="nil"/>
            </w:tcBorders>
            <w:tcMar>
              <w:top w:w="0" w:type="dxa"/>
              <w:left w:w="43" w:type="dxa"/>
              <w:bottom w:w="0" w:type="dxa"/>
              <w:right w:w="43" w:type="dxa"/>
            </w:tcMar>
            <w:vAlign w:val="center"/>
          </w:tcPr>
          <w:p w14:paraId="63F5DD4D" w14:textId="77777777" w:rsidR="009911A0" w:rsidRDefault="002B582B">
            <w:pPr>
              <w:pStyle w:val="Normal4"/>
              <w:jc w:val="center"/>
              <w:rPr>
                <w:sz w:val="18"/>
                <w:szCs w:val="18"/>
              </w:rPr>
            </w:pPr>
            <w:r>
              <w:rPr>
                <w:rFonts w:ascii="Times New Roman" w:hAnsi="Times New Roman"/>
                <w:sz w:val="18"/>
                <w:szCs w:val="18"/>
              </w:rPr>
              <w:t>0.992 4</w:t>
            </w:r>
          </w:p>
        </w:tc>
        <w:tc>
          <w:tcPr>
            <w:tcW w:w="1201" w:type="dxa"/>
            <w:tcBorders>
              <w:top w:val="single" w:sz="3" w:space="0" w:color="auto"/>
              <w:left w:val="nil"/>
              <w:bottom w:val="nil"/>
              <w:right w:val="nil"/>
            </w:tcBorders>
            <w:tcMar>
              <w:top w:w="0" w:type="dxa"/>
              <w:left w:w="43" w:type="dxa"/>
              <w:bottom w:w="0" w:type="dxa"/>
              <w:right w:w="43" w:type="dxa"/>
            </w:tcMar>
            <w:vAlign w:val="center"/>
          </w:tcPr>
          <w:p w14:paraId="6A37C144" w14:textId="77777777" w:rsidR="009911A0" w:rsidRDefault="002B582B">
            <w:pPr>
              <w:pStyle w:val="Normal4"/>
              <w:jc w:val="center"/>
              <w:rPr>
                <w:sz w:val="18"/>
                <w:szCs w:val="18"/>
              </w:rPr>
            </w:pPr>
            <w:r>
              <w:rPr>
                <w:rFonts w:ascii="Times New Roman" w:hAnsi="Times New Roman"/>
                <w:sz w:val="18"/>
                <w:szCs w:val="18"/>
              </w:rPr>
              <w:t>0.993 0</w:t>
            </w:r>
          </w:p>
        </w:tc>
      </w:tr>
      <w:tr w:rsidR="009911A0" w14:paraId="5D147121" w14:textId="77777777">
        <w:trPr>
          <w:trHeight w:val="356"/>
          <w:jc w:val="center"/>
        </w:trPr>
        <w:tc>
          <w:tcPr>
            <w:tcW w:w="1267" w:type="dxa"/>
            <w:tcBorders>
              <w:top w:val="nil"/>
              <w:left w:val="nil"/>
              <w:bottom w:val="nil"/>
              <w:right w:val="nil"/>
            </w:tcBorders>
            <w:tcMar>
              <w:top w:w="0" w:type="dxa"/>
              <w:left w:w="43" w:type="dxa"/>
              <w:bottom w:w="0" w:type="dxa"/>
              <w:right w:w="43" w:type="dxa"/>
            </w:tcMar>
            <w:vAlign w:val="center"/>
          </w:tcPr>
          <w:p w14:paraId="6E67B856" w14:textId="77777777" w:rsidR="009911A0" w:rsidRDefault="002B582B">
            <w:pPr>
              <w:pStyle w:val="Normal4"/>
              <w:tabs>
                <w:tab w:val="left" w:pos="720"/>
              </w:tabs>
              <w:jc w:val="center"/>
              <w:rPr>
                <w:sz w:val="18"/>
                <w:szCs w:val="18"/>
              </w:rPr>
            </w:pPr>
            <w:r>
              <w:rPr>
                <w:rFonts w:ascii="Times New Roman" w:hAnsi="Times New Roman"/>
                <w:sz w:val="18"/>
                <w:szCs w:val="18"/>
              </w:rPr>
              <w:t>1.0</w:t>
            </w:r>
          </w:p>
        </w:tc>
        <w:tc>
          <w:tcPr>
            <w:tcW w:w="1165" w:type="dxa"/>
            <w:tcBorders>
              <w:top w:val="nil"/>
              <w:left w:val="nil"/>
              <w:bottom w:val="nil"/>
              <w:right w:val="nil"/>
            </w:tcBorders>
            <w:tcMar>
              <w:top w:w="0" w:type="dxa"/>
              <w:left w:w="43" w:type="dxa"/>
              <w:bottom w:w="0" w:type="dxa"/>
              <w:right w:w="43" w:type="dxa"/>
            </w:tcMar>
            <w:vAlign w:val="center"/>
          </w:tcPr>
          <w:p w14:paraId="1C17A32C" w14:textId="77777777" w:rsidR="009911A0" w:rsidRDefault="002B582B">
            <w:pPr>
              <w:pStyle w:val="Normal4"/>
              <w:jc w:val="center"/>
              <w:rPr>
                <w:sz w:val="18"/>
                <w:szCs w:val="18"/>
              </w:rPr>
            </w:pPr>
            <w:r>
              <w:rPr>
                <w:rFonts w:ascii="Times New Roman" w:hAnsi="Times New Roman"/>
                <w:sz w:val="18"/>
                <w:szCs w:val="18"/>
              </w:rPr>
              <w:t>0.950 0</w:t>
            </w:r>
          </w:p>
        </w:tc>
        <w:tc>
          <w:tcPr>
            <w:tcW w:w="1226" w:type="dxa"/>
            <w:tcBorders>
              <w:top w:val="nil"/>
              <w:left w:val="nil"/>
              <w:bottom w:val="nil"/>
              <w:right w:val="nil"/>
            </w:tcBorders>
            <w:tcMar>
              <w:top w:w="0" w:type="dxa"/>
              <w:left w:w="43" w:type="dxa"/>
              <w:bottom w:w="0" w:type="dxa"/>
              <w:right w:w="43" w:type="dxa"/>
            </w:tcMar>
            <w:vAlign w:val="center"/>
          </w:tcPr>
          <w:p w14:paraId="51DB8010" w14:textId="77777777" w:rsidR="009911A0" w:rsidRDefault="002B582B">
            <w:pPr>
              <w:pStyle w:val="Normal4"/>
              <w:jc w:val="center"/>
              <w:rPr>
                <w:sz w:val="18"/>
                <w:szCs w:val="18"/>
              </w:rPr>
            </w:pPr>
            <w:r>
              <w:rPr>
                <w:rFonts w:ascii="Times New Roman" w:hAnsi="Times New Roman"/>
                <w:sz w:val="18"/>
                <w:szCs w:val="18"/>
              </w:rPr>
              <w:t>0.981 0</w:t>
            </w:r>
          </w:p>
        </w:tc>
        <w:tc>
          <w:tcPr>
            <w:tcW w:w="1223" w:type="dxa"/>
            <w:tcBorders>
              <w:top w:val="nil"/>
              <w:left w:val="nil"/>
              <w:bottom w:val="nil"/>
              <w:right w:val="nil"/>
            </w:tcBorders>
            <w:tcMar>
              <w:top w:w="0" w:type="dxa"/>
              <w:left w:w="43" w:type="dxa"/>
              <w:bottom w:w="0" w:type="dxa"/>
              <w:right w:w="43" w:type="dxa"/>
            </w:tcMar>
            <w:vAlign w:val="center"/>
          </w:tcPr>
          <w:p w14:paraId="6CCCBEAD" w14:textId="77777777" w:rsidR="009911A0" w:rsidRDefault="002B582B">
            <w:pPr>
              <w:pStyle w:val="Normal4"/>
              <w:jc w:val="center"/>
              <w:rPr>
                <w:sz w:val="18"/>
                <w:szCs w:val="18"/>
              </w:rPr>
            </w:pPr>
            <w:r>
              <w:rPr>
                <w:rFonts w:ascii="Times New Roman" w:hAnsi="Times New Roman"/>
                <w:sz w:val="18"/>
                <w:szCs w:val="18"/>
              </w:rPr>
              <w:t>0.983 1</w:t>
            </w:r>
          </w:p>
        </w:tc>
        <w:tc>
          <w:tcPr>
            <w:tcW w:w="1223" w:type="dxa"/>
            <w:tcBorders>
              <w:top w:val="nil"/>
              <w:left w:val="nil"/>
              <w:bottom w:val="nil"/>
              <w:right w:val="nil"/>
            </w:tcBorders>
            <w:tcMar>
              <w:top w:w="0" w:type="dxa"/>
              <w:left w:w="43" w:type="dxa"/>
              <w:bottom w:w="0" w:type="dxa"/>
              <w:right w:w="43" w:type="dxa"/>
            </w:tcMar>
            <w:vAlign w:val="center"/>
          </w:tcPr>
          <w:p w14:paraId="05BBDD06" w14:textId="77777777" w:rsidR="009911A0" w:rsidRDefault="002B582B">
            <w:pPr>
              <w:pStyle w:val="Normal4"/>
              <w:jc w:val="center"/>
              <w:rPr>
                <w:sz w:val="18"/>
                <w:szCs w:val="18"/>
              </w:rPr>
            </w:pPr>
            <w:r>
              <w:rPr>
                <w:rFonts w:ascii="Times New Roman" w:hAnsi="Times New Roman"/>
                <w:sz w:val="18"/>
                <w:szCs w:val="18"/>
              </w:rPr>
              <w:t>0.984 1</w:t>
            </w:r>
          </w:p>
        </w:tc>
        <w:tc>
          <w:tcPr>
            <w:tcW w:w="1223" w:type="dxa"/>
            <w:tcBorders>
              <w:top w:val="nil"/>
              <w:left w:val="nil"/>
              <w:bottom w:val="nil"/>
              <w:right w:val="nil"/>
            </w:tcBorders>
            <w:tcMar>
              <w:top w:w="0" w:type="dxa"/>
              <w:left w:w="43" w:type="dxa"/>
              <w:bottom w:w="0" w:type="dxa"/>
              <w:right w:w="43" w:type="dxa"/>
            </w:tcMar>
            <w:vAlign w:val="center"/>
          </w:tcPr>
          <w:p w14:paraId="131AF17F" w14:textId="77777777" w:rsidR="009911A0" w:rsidRDefault="002B582B">
            <w:pPr>
              <w:pStyle w:val="Normal4"/>
              <w:jc w:val="center"/>
              <w:rPr>
                <w:sz w:val="18"/>
                <w:szCs w:val="18"/>
              </w:rPr>
            </w:pPr>
            <w:r>
              <w:rPr>
                <w:rFonts w:ascii="Times New Roman" w:hAnsi="Times New Roman"/>
                <w:sz w:val="18"/>
                <w:szCs w:val="18"/>
              </w:rPr>
              <w:t>0.984 8</w:t>
            </w:r>
          </w:p>
        </w:tc>
        <w:tc>
          <w:tcPr>
            <w:tcW w:w="1201" w:type="dxa"/>
            <w:tcBorders>
              <w:top w:val="nil"/>
              <w:left w:val="nil"/>
              <w:bottom w:val="nil"/>
              <w:right w:val="nil"/>
            </w:tcBorders>
            <w:tcMar>
              <w:top w:w="0" w:type="dxa"/>
              <w:left w:w="43" w:type="dxa"/>
              <w:bottom w:w="0" w:type="dxa"/>
              <w:right w:w="43" w:type="dxa"/>
            </w:tcMar>
            <w:vAlign w:val="center"/>
          </w:tcPr>
          <w:p w14:paraId="0BAF3F1A" w14:textId="77777777" w:rsidR="009911A0" w:rsidRDefault="002B582B">
            <w:pPr>
              <w:pStyle w:val="Normal4"/>
              <w:jc w:val="center"/>
              <w:rPr>
                <w:sz w:val="18"/>
                <w:szCs w:val="18"/>
              </w:rPr>
            </w:pPr>
            <w:r>
              <w:rPr>
                <w:rFonts w:ascii="Times New Roman" w:hAnsi="Times New Roman"/>
                <w:sz w:val="18"/>
                <w:szCs w:val="18"/>
              </w:rPr>
              <w:t>0.986 0</w:t>
            </w:r>
          </w:p>
        </w:tc>
      </w:tr>
      <w:tr w:rsidR="009911A0" w14:paraId="1CE6C205" w14:textId="77777777">
        <w:trPr>
          <w:trHeight w:val="356"/>
          <w:jc w:val="center"/>
        </w:trPr>
        <w:tc>
          <w:tcPr>
            <w:tcW w:w="1267" w:type="dxa"/>
            <w:tcBorders>
              <w:top w:val="nil"/>
              <w:left w:val="nil"/>
              <w:bottom w:val="nil"/>
              <w:right w:val="nil"/>
            </w:tcBorders>
            <w:tcMar>
              <w:top w:w="0" w:type="dxa"/>
              <w:left w:w="43" w:type="dxa"/>
              <w:bottom w:w="0" w:type="dxa"/>
              <w:right w:w="43" w:type="dxa"/>
            </w:tcMar>
            <w:vAlign w:val="center"/>
          </w:tcPr>
          <w:p w14:paraId="7444F107" w14:textId="77777777" w:rsidR="009911A0" w:rsidRDefault="002B582B">
            <w:pPr>
              <w:pStyle w:val="Normal4"/>
              <w:tabs>
                <w:tab w:val="left" w:pos="720"/>
              </w:tabs>
              <w:jc w:val="center"/>
              <w:rPr>
                <w:sz w:val="18"/>
                <w:szCs w:val="18"/>
              </w:rPr>
            </w:pPr>
            <w:r>
              <w:rPr>
                <w:rFonts w:ascii="Times New Roman" w:hAnsi="Times New Roman"/>
                <w:sz w:val="18"/>
                <w:szCs w:val="18"/>
              </w:rPr>
              <w:t>5.0</w:t>
            </w:r>
          </w:p>
        </w:tc>
        <w:tc>
          <w:tcPr>
            <w:tcW w:w="1165" w:type="dxa"/>
            <w:tcBorders>
              <w:top w:val="nil"/>
              <w:left w:val="nil"/>
              <w:bottom w:val="nil"/>
              <w:right w:val="nil"/>
            </w:tcBorders>
            <w:tcMar>
              <w:top w:w="0" w:type="dxa"/>
              <w:left w:w="43" w:type="dxa"/>
              <w:bottom w:w="0" w:type="dxa"/>
              <w:right w:w="43" w:type="dxa"/>
            </w:tcMar>
            <w:vAlign w:val="center"/>
          </w:tcPr>
          <w:p w14:paraId="13DF84EB" w14:textId="77777777" w:rsidR="009911A0" w:rsidRDefault="002B582B">
            <w:pPr>
              <w:pStyle w:val="Normal4"/>
              <w:jc w:val="center"/>
              <w:rPr>
                <w:sz w:val="18"/>
                <w:szCs w:val="18"/>
              </w:rPr>
            </w:pPr>
            <w:r>
              <w:rPr>
                <w:rFonts w:ascii="Times New Roman" w:hAnsi="Times New Roman"/>
                <w:sz w:val="18"/>
                <w:szCs w:val="18"/>
              </w:rPr>
              <w:t>0.800 0</w:t>
            </w:r>
          </w:p>
        </w:tc>
        <w:tc>
          <w:tcPr>
            <w:tcW w:w="1226" w:type="dxa"/>
            <w:tcBorders>
              <w:top w:val="nil"/>
              <w:left w:val="nil"/>
              <w:bottom w:val="nil"/>
              <w:right w:val="nil"/>
            </w:tcBorders>
            <w:tcMar>
              <w:top w:w="0" w:type="dxa"/>
              <w:left w:w="43" w:type="dxa"/>
              <w:bottom w:w="0" w:type="dxa"/>
              <w:right w:w="43" w:type="dxa"/>
            </w:tcMar>
            <w:vAlign w:val="center"/>
          </w:tcPr>
          <w:p w14:paraId="00FAEA17" w14:textId="77777777" w:rsidR="009911A0" w:rsidRDefault="002B582B">
            <w:pPr>
              <w:pStyle w:val="Normal4"/>
              <w:jc w:val="center"/>
              <w:rPr>
                <w:sz w:val="18"/>
                <w:szCs w:val="18"/>
              </w:rPr>
            </w:pPr>
            <w:r>
              <w:rPr>
                <w:rFonts w:ascii="Times New Roman" w:hAnsi="Times New Roman"/>
                <w:sz w:val="18"/>
                <w:szCs w:val="18"/>
              </w:rPr>
              <w:t>0.911 6</w:t>
            </w:r>
          </w:p>
        </w:tc>
        <w:tc>
          <w:tcPr>
            <w:tcW w:w="1223" w:type="dxa"/>
            <w:tcBorders>
              <w:top w:val="nil"/>
              <w:left w:val="nil"/>
              <w:bottom w:val="nil"/>
              <w:right w:val="nil"/>
            </w:tcBorders>
            <w:tcMar>
              <w:top w:w="0" w:type="dxa"/>
              <w:left w:w="43" w:type="dxa"/>
              <w:bottom w:w="0" w:type="dxa"/>
              <w:right w:w="43" w:type="dxa"/>
            </w:tcMar>
            <w:vAlign w:val="center"/>
          </w:tcPr>
          <w:p w14:paraId="34F3291B" w14:textId="77777777" w:rsidR="009911A0" w:rsidRDefault="002B582B">
            <w:pPr>
              <w:pStyle w:val="Normal4"/>
              <w:jc w:val="center"/>
              <w:rPr>
                <w:sz w:val="18"/>
                <w:szCs w:val="18"/>
              </w:rPr>
            </w:pPr>
            <w:r>
              <w:rPr>
                <w:rFonts w:ascii="Times New Roman" w:hAnsi="Times New Roman"/>
                <w:sz w:val="18"/>
                <w:szCs w:val="18"/>
              </w:rPr>
              <w:t>0.920 7</w:t>
            </w:r>
          </w:p>
        </w:tc>
        <w:tc>
          <w:tcPr>
            <w:tcW w:w="1223" w:type="dxa"/>
            <w:tcBorders>
              <w:top w:val="nil"/>
              <w:left w:val="nil"/>
              <w:bottom w:val="nil"/>
              <w:right w:val="nil"/>
            </w:tcBorders>
            <w:tcMar>
              <w:top w:w="0" w:type="dxa"/>
              <w:left w:w="43" w:type="dxa"/>
              <w:bottom w:w="0" w:type="dxa"/>
              <w:right w:w="43" w:type="dxa"/>
            </w:tcMar>
            <w:vAlign w:val="center"/>
          </w:tcPr>
          <w:p w14:paraId="6F7CC5DA" w14:textId="77777777" w:rsidR="009911A0" w:rsidRDefault="002B582B">
            <w:pPr>
              <w:pStyle w:val="Normal4"/>
              <w:jc w:val="center"/>
              <w:rPr>
                <w:sz w:val="18"/>
                <w:szCs w:val="18"/>
              </w:rPr>
            </w:pPr>
            <w:r>
              <w:rPr>
                <w:rFonts w:ascii="Times New Roman" w:hAnsi="Times New Roman"/>
                <w:sz w:val="18"/>
                <w:szCs w:val="18"/>
              </w:rPr>
              <w:t>0.925 3</w:t>
            </w:r>
          </w:p>
        </w:tc>
        <w:tc>
          <w:tcPr>
            <w:tcW w:w="1223" w:type="dxa"/>
            <w:tcBorders>
              <w:top w:val="nil"/>
              <w:left w:val="nil"/>
              <w:bottom w:val="nil"/>
              <w:right w:val="nil"/>
            </w:tcBorders>
            <w:tcMar>
              <w:top w:w="0" w:type="dxa"/>
              <w:left w:w="43" w:type="dxa"/>
              <w:bottom w:w="0" w:type="dxa"/>
              <w:right w:w="43" w:type="dxa"/>
            </w:tcMar>
            <w:vAlign w:val="center"/>
          </w:tcPr>
          <w:p w14:paraId="20BF27C2" w14:textId="77777777" w:rsidR="009911A0" w:rsidRDefault="002B582B">
            <w:pPr>
              <w:pStyle w:val="Normal4"/>
              <w:jc w:val="center"/>
              <w:rPr>
                <w:sz w:val="18"/>
                <w:szCs w:val="18"/>
              </w:rPr>
            </w:pPr>
            <w:r>
              <w:rPr>
                <w:rFonts w:ascii="Times New Roman" w:hAnsi="Times New Roman"/>
                <w:sz w:val="18"/>
                <w:szCs w:val="18"/>
              </w:rPr>
              <w:t>0.928 5</w:t>
            </w:r>
          </w:p>
        </w:tc>
        <w:tc>
          <w:tcPr>
            <w:tcW w:w="1201" w:type="dxa"/>
            <w:tcBorders>
              <w:top w:val="nil"/>
              <w:left w:val="nil"/>
              <w:bottom w:val="nil"/>
              <w:right w:val="nil"/>
            </w:tcBorders>
            <w:tcMar>
              <w:top w:w="0" w:type="dxa"/>
              <w:left w:w="43" w:type="dxa"/>
              <w:bottom w:w="0" w:type="dxa"/>
              <w:right w:w="43" w:type="dxa"/>
            </w:tcMar>
            <w:vAlign w:val="center"/>
          </w:tcPr>
          <w:p w14:paraId="6064FA64" w14:textId="77777777" w:rsidR="009911A0" w:rsidRDefault="002B582B">
            <w:pPr>
              <w:pStyle w:val="Normal4"/>
              <w:jc w:val="center"/>
              <w:rPr>
                <w:sz w:val="18"/>
                <w:szCs w:val="18"/>
              </w:rPr>
            </w:pPr>
            <w:r>
              <w:rPr>
                <w:rFonts w:ascii="Times New Roman" w:hAnsi="Times New Roman"/>
                <w:sz w:val="18"/>
                <w:szCs w:val="18"/>
              </w:rPr>
              <w:t>0.933 8</w:t>
            </w:r>
          </w:p>
        </w:tc>
      </w:tr>
      <w:tr w:rsidR="009911A0" w14:paraId="3A237FB8" w14:textId="77777777">
        <w:trPr>
          <w:trHeight w:val="356"/>
          <w:jc w:val="center"/>
        </w:trPr>
        <w:tc>
          <w:tcPr>
            <w:tcW w:w="1267" w:type="dxa"/>
            <w:tcBorders>
              <w:top w:val="nil"/>
              <w:left w:val="nil"/>
              <w:bottom w:val="nil"/>
              <w:right w:val="nil"/>
            </w:tcBorders>
            <w:tcMar>
              <w:top w:w="0" w:type="dxa"/>
              <w:left w:w="43" w:type="dxa"/>
              <w:bottom w:w="0" w:type="dxa"/>
              <w:right w:w="43" w:type="dxa"/>
            </w:tcMar>
            <w:vAlign w:val="center"/>
          </w:tcPr>
          <w:p w14:paraId="5BADFEAD" w14:textId="77777777" w:rsidR="009911A0" w:rsidRDefault="002B582B">
            <w:pPr>
              <w:pStyle w:val="Normal4"/>
              <w:tabs>
                <w:tab w:val="left" w:pos="720"/>
              </w:tabs>
              <w:jc w:val="center"/>
              <w:rPr>
                <w:sz w:val="18"/>
                <w:szCs w:val="18"/>
              </w:rPr>
            </w:pPr>
            <w:r>
              <w:rPr>
                <w:rFonts w:ascii="Times New Roman" w:hAnsi="Times New Roman"/>
                <w:sz w:val="18"/>
                <w:szCs w:val="18"/>
              </w:rPr>
              <w:t>10.0</w:t>
            </w:r>
          </w:p>
        </w:tc>
        <w:tc>
          <w:tcPr>
            <w:tcW w:w="1165" w:type="dxa"/>
            <w:tcBorders>
              <w:top w:val="nil"/>
              <w:left w:val="nil"/>
              <w:bottom w:val="nil"/>
              <w:right w:val="nil"/>
            </w:tcBorders>
            <w:tcMar>
              <w:top w:w="0" w:type="dxa"/>
              <w:left w:w="43" w:type="dxa"/>
              <w:bottom w:w="0" w:type="dxa"/>
              <w:right w:w="43" w:type="dxa"/>
            </w:tcMar>
            <w:vAlign w:val="center"/>
          </w:tcPr>
          <w:p w14:paraId="3D1009EA" w14:textId="77777777" w:rsidR="009911A0" w:rsidRDefault="002B582B">
            <w:pPr>
              <w:pStyle w:val="Normal4"/>
              <w:jc w:val="center"/>
              <w:rPr>
                <w:sz w:val="18"/>
                <w:szCs w:val="18"/>
              </w:rPr>
            </w:pPr>
            <w:r>
              <w:rPr>
                <w:rFonts w:ascii="Times New Roman" w:hAnsi="Times New Roman"/>
                <w:sz w:val="18"/>
                <w:szCs w:val="18"/>
              </w:rPr>
              <w:t>0.700 0</w:t>
            </w:r>
          </w:p>
        </w:tc>
        <w:tc>
          <w:tcPr>
            <w:tcW w:w="1226" w:type="dxa"/>
            <w:tcBorders>
              <w:top w:val="nil"/>
              <w:left w:val="nil"/>
              <w:bottom w:val="nil"/>
              <w:right w:val="nil"/>
            </w:tcBorders>
            <w:tcMar>
              <w:top w:w="0" w:type="dxa"/>
              <w:left w:w="43" w:type="dxa"/>
              <w:bottom w:w="0" w:type="dxa"/>
              <w:right w:w="43" w:type="dxa"/>
            </w:tcMar>
            <w:vAlign w:val="center"/>
          </w:tcPr>
          <w:p w14:paraId="2B593265" w14:textId="77777777" w:rsidR="009911A0" w:rsidRDefault="002B582B">
            <w:pPr>
              <w:pStyle w:val="Normal4"/>
              <w:jc w:val="center"/>
              <w:rPr>
                <w:sz w:val="18"/>
                <w:szCs w:val="18"/>
              </w:rPr>
            </w:pPr>
            <w:r>
              <w:rPr>
                <w:rFonts w:ascii="Times New Roman" w:hAnsi="Times New Roman"/>
                <w:sz w:val="18"/>
                <w:szCs w:val="18"/>
              </w:rPr>
              <w:t>0.837 6</w:t>
            </w:r>
          </w:p>
        </w:tc>
        <w:tc>
          <w:tcPr>
            <w:tcW w:w="1223" w:type="dxa"/>
            <w:tcBorders>
              <w:top w:val="nil"/>
              <w:left w:val="nil"/>
              <w:bottom w:val="nil"/>
              <w:right w:val="nil"/>
            </w:tcBorders>
            <w:tcMar>
              <w:top w:w="0" w:type="dxa"/>
              <w:left w:w="43" w:type="dxa"/>
              <w:bottom w:w="0" w:type="dxa"/>
              <w:right w:w="43" w:type="dxa"/>
            </w:tcMar>
            <w:vAlign w:val="center"/>
          </w:tcPr>
          <w:p w14:paraId="17EF251C" w14:textId="77777777" w:rsidR="009911A0" w:rsidRDefault="002B582B">
            <w:pPr>
              <w:pStyle w:val="Normal4"/>
              <w:jc w:val="center"/>
              <w:rPr>
                <w:sz w:val="18"/>
                <w:szCs w:val="18"/>
              </w:rPr>
            </w:pPr>
            <w:r>
              <w:rPr>
                <w:rFonts w:ascii="Times New Roman" w:hAnsi="Times New Roman"/>
                <w:sz w:val="18"/>
                <w:szCs w:val="18"/>
              </w:rPr>
              <w:t>0.853 0</w:t>
            </w:r>
          </w:p>
        </w:tc>
        <w:tc>
          <w:tcPr>
            <w:tcW w:w="1223" w:type="dxa"/>
            <w:tcBorders>
              <w:top w:val="nil"/>
              <w:left w:val="nil"/>
              <w:bottom w:val="nil"/>
              <w:right w:val="nil"/>
            </w:tcBorders>
            <w:tcMar>
              <w:top w:w="0" w:type="dxa"/>
              <w:left w:w="43" w:type="dxa"/>
              <w:bottom w:w="0" w:type="dxa"/>
              <w:right w:w="43" w:type="dxa"/>
            </w:tcMar>
            <w:vAlign w:val="center"/>
          </w:tcPr>
          <w:p w14:paraId="4C6F6389" w14:textId="77777777" w:rsidR="009911A0" w:rsidRDefault="002B582B">
            <w:pPr>
              <w:pStyle w:val="Normal4"/>
              <w:jc w:val="center"/>
              <w:rPr>
                <w:sz w:val="18"/>
                <w:szCs w:val="18"/>
              </w:rPr>
            </w:pPr>
            <w:r>
              <w:rPr>
                <w:rFonts w:ascii="Times New Roman" w:hAnsi="Times New Roman"/>
                <w:sz w:val="18"/>
                <w:szCs w:val="18"/>
              </w:rPr>
              <w:t>0.861 0</w:t>
            </w:r>
          </w:p>
        </w:tc>
        <w:tc>
          <w:tcPr>
            <w:tcW w:w="1223" w:type="dxa"/>
            <w:tcBorders>
              <w:top w:val="nil"/>
              <w:left w:val="nil"/>
              <w:bottom w:val="nil"/>
              <w:right w:val="nil"/>
            </w:tcBorders>
            <w:tcMar>
              <w:top w:w="0" w:type="dxa"/>
              <w:left w:w="43" w:type="dxa"/>
              <w:bottom w:w="0" w:type="dxa"/>
              <w:right w:w="43" w:type="dxa"/>
            </w:tcMar>
            <w:vAlign w:val="center"/>
          </w:tcPr>
          <w:p w14:paraId="684A59BB" w14:textId="77777777" w:rsidR="009911A0" w:rsidRDefault="002B582B">
            <w:pPr>
              <w:pStyle w:val="Normal4"/>
              <w:jc w:val="center"/>
              <w:rPr>
                <w:sz w:val="18"/>
                <w:szCs w:val="18"/>
              </w:rPr>
            </w:pPr>
            <w:r>
              <w:rPr>
                <w:rFonts w:ascii="Times New Roman" w:hAnsi="Times New Roman"/>
                <w:sz w:val="18"/>
                <w:szCs w:val="18"/>
              </w:rPr>
              <w:t>0.866 5</w:t>
            </w:r>
          </w:p>
        </w:tc>
        <w:tc>
          <w:tcPr>
            <w:tcW w:w="1201" w:type="dxa"/>
            <w:tcBorders>
              <w:top w:val="nil"/>
              <w:left w:val="nil"/>
              <w:bottom w:val="nil"/>
              <w:right w:val="nil"/>
            </w:tcBorders>
            <w:tcMar>
              <w:top w:w="0" w:type="dxa"/>
              <w:left w:w="43" w:type="dxa"/>
              <w:bottom w:w="0" w:type="dxa"/>
              <w:right w:w="43" w:type="dxa"/>
            </w:tcMar>
            <w:vAlign w:val="center"/>
          </w:tcPr>
          <w:p w14:paraId="07614868" w14:textId="77777777" w:rsidR="009911A0" w:rsidRDefault="002B582B">
            <w:pPr>
              <w:pStyle w:val="Normal4"/>
              <w:jc w:val="center"/>
              <w:rPr>
                <w:sz w:val="18"/>
                <w:szCs w:val="18"/>
              </w:rPr>
            </w:pPr>
            <w:r>
              <w:rPr>
                <w:rFonts w:ascii="Times New Roman" w:hAnsi="Times New Roman"/>
                <w:sz w:val="18"/>
                <w:szCs w:val="18"/>
              </w:rPr>
              <w:t>0.875 8</w:t>
            </w:r>
          </w:p>
        </w:tc>
      </w:tr>
      <w:tr w:rsidR="009911A0" w14:paraId="32AC73BA" w14:textId="77777777">
        <w:trPr>
          <w:trHeight w:val="356"/>
          <w:jc w:val="center"/>
        </w:trPr>
        <w:tc>
          <w:tcPr>
            <w:tcW w:w="1267" w:type="dxa"/>
            <w:tcBorders>
              <w:top w:val="nil"/>
              <w:left w:val="nil"/>
              <w:bottom w:val="nil"/>
              <w:right w:val="nil"/>
            </w:tcBorders>
            <w:tcMar>
              <w:top w:w="0" w:type="dxa"/>
              <w:left w:w="43" w:type="dxa"/>
              <w:bottom w:w="0" w:type="dxa"/>
              <w:right w:w="43" w:type="dxa"/>
            </w:tcMar>
            <w:vAlign w:val="center"/>
          </w:tcPr>
          <w:p w14:paraId="7EE789AF" w14:textId="77777777" w:rsidR="009911A0" w:rsidRDefault="002B582B">
            <w:pPr>
              <w:pStyle w:val="Normal4"/>
              <w:tabs>
                <w:tab w:val="left" w:pos="720"/>
              </w:tabs>
              <w:jc w:val="center"/>
              <w:rPr>
                <w:sz w:val="18"/>
                <w:szCs w:val="18"/>
              </w:rPr>
            </w:pPr>
            <w:r>
              <w:rPr>
                <w:rFonts w:ascii="Times New Roman" w:hAnsi="Times New Roman"/>
                <w:sz w:val="18"/>
                <w:szCs w:val="18"/>
              </w:rPr>
              <w:t>50.0</w:t>
            </w:r>
          </w:p>
        </w:tc>
        <w:tc>
          <w:tcPr>
            <w:tcW w:w="1165" w:type="dxa"/>
            <w:tcBorders>
              <w:top w:val="nil"/>
              <w:left w:val="nil"/>
              <w:bottom w:val="nil"/>
              <w:right w:val="nil"/>
            </w:tcBorders>
            <w:tcMar>
              <w:top w:w="0" w:type="dxa"/>
              <w:left w:w="43" w:type="dxa"/>
              <w:bottom w:w="0" w:type="dxa"/>
              <w:right w:w="43" w:type="dxa"/>
            </w:tcMar>
            <w:vAlign w:val="center"/>
          </w:tcPr>
          <w:p w14:paraId="139A0898" w14:textId="77777777" w:rsidR="009911A0" w:rsidRDefault="002B582B">
            <w:pPr>
              <w:pStyle w:val="Normal4"/>
              <w:jc w:val="center"/>
              <w:rPr>
                <w:sz w:val="18"/>
                <w:szCs w:val="18"/>
              </w:rPr>
            </w:pPr>
            <w:r>
              <w:rPr>
                <w:rFonts w:ascii="Times New Roman" w:hAnsi="Times New Roman"/>
                <w:sz w:val="18"/>
                <w:szCs w:val="18"/>
              </w:rPr>
              <w:t>0.300 0</w:t>
            </w:r>
          </w:p>
        </w:tc>
        <w:tc>
          <w:tcPr>
            <w:tcW w:w="1226" w:type="dxa"/>
            <w:tcBorders>
              <w:top w:val="nil"/>
              <w:left w:val="nil"/>
              <w:bottom w:val="nil"/>
              <w:right w:val="nil"/>
            </w:tcBorders>
            <w:tcMar>
              <w:top w:w="0" w:type="dxa"/>
              <w:left w:w="43" w:type="dxa"/>
              <w:bottom w:w="0" w:type="dxa"/>
              <w:right w:w="43" w:type="dxa"/>
            </w:tcMar>
            <w:vAlign w:val="center"/>
          </w:tcPr>
          <w:p w14:paraId="1748792D" w14:textId="77777777" w:rsidR="009911A0" w:rsidRDefault="002B582B">
            <w:pPr>
              <w:pStyle w:val="Normal4"/>
              <w:jc w:val="center"/>
              <w:rPr>
                <w:sz w:val="18"/>
                <w:szCs w:val="18"/>
              </w:rPr>
            </w:pPr>
            <w:r>
              <w:rPr>
                <w:rFonts w:ascii="Times New Roman" w:hAnsi="Times New Roman"/>
                <w:sz w:val="18"/>
                <w:szCs w:val="18"/>
              </w:rPr>
              <w:t>0.507 8</w:t>
            </w:r>
          </w:p>
        </w:tc>
        <w:tc>
          <w:tcPr>
            <w:tcW w:w="1223" w:type="dxa"/>
            <w:tcBorders>
              <w:top w:val="nil"/>
              <w:left w:val="nil"/>
              <w:bottom w:val="nil"/>
              <w:right w:val="nil"/>
            </w:tcBorders>
            <w:tcMar>
              <w:top w:w="0" w:type="dxa"/>
              <w:left w:w="43" w:type="dxa"/>
              <w:bottom w:w="0" w:type="dxa"/>
              <w:right w:w="43" w:type="dxa"/>
            </w:tcMar>
            <w:vAlign w:val="center"/>
          </w:tcPr>
          <w:p w14:paraId="525D718A" w14:textId="77777777" w:rsidR="009911A0" w:rsidRDefault="002B582B">
            <w:pPr>
              <w:pStyle w:val="Normal4"/>
              <w:jc w:val="center"/>
              <w:rPr>
                <w:sz w:val="18"/>
                <w:szCs w:val="18"/>
              </w:rPr>
            </w:pPr>
            <w:r>
              <w:rPr>
                <w:rFonts w:ascii="Times New Roman" w:hAnsi="Times New Roman"/>
                <w:sz w:val="18"/>
                <w:szCs w:val="18"/>
              </w:rPr>
              <w:t>0.537 1</w:t>
            </w:r>
          </w:p>
        </w:tc>
        <w:tc>
          <w:tcPr>
            <w:tcW w:w="1223" w:type="dxa"/>
            <w:tcBorders>
              <w:top w:val="nil"/>
              <w:left w:val="nil"/>
              <w:bottom w:val="nil"/>
              <w:right w:val="nil"/>
            </w:tcBorders>
            <w:tcMar>
              <w:top w:w="0" w:type="dxa"/>
              <w:left w:w="43" w:type="dxa"/>
              <w:bottom w:w="0" w:type="dxa"/>
              <w:right w:w="43" w:type="dxa"/>
            </w:tcMar>
            <w:vAlign w:val="center"/>
          </w:tcPr>
          <w:p w14:paraId="65D98BD4" w14:textId="77777777" w:rsidR="009911A0" w:rsidRDefault="002B582B">
            <w:pPr>
              <w:pStyle w:val="Normal4"/>
              <w:jc w:val="center"/>
              <w:rPr>
                <w:sz w:val="18"/>
                <w:szCs w:val="18"/>
              </w:rPr>
            </w:pPr>
            <w:r>
              <w:rPr>
                <w:rFonts w:ascii="Times New Roman" w:hAnsi="Times New Roman"/>
                <w:sz w:val="18"/>
                <w:szCs w:val="18"/>
              </w:rPr>
              <w:t>0.553 4</w:t>
            </w:r>
          </w:p>
        </w:tc>
        <w:tc>
          <w:tcPr>
            <w:tcW w:w="1223" w:type="dxa"/>
            <w:tcBorders>
              <w:top w:val="nil"/>
              <w:left w:val="nil"/>
              <w:bottom w:val="nil"/>
              <w:right w:val="nil"/>
            </w:tcBorders>
            <w:tcMar>
              <w:top w:w="0" w:type="dxa"/>
              <w:left w:w="43" w:type="dxa"/>
              <w:bottom w:w="0" w:type="dxa"/>
              <w:right w:w="43" w:type="dxa"/>
            </w:tcMar>
            <w:vAlign w:val="center"/>
          </w:tcPr>
          <w:p w14:paraId="65D635E8" w14:textId="77777777" w:rsidR="009911A0" w:rsidRDefault="002B582B">
            <w:pPr>
              <w:pStyle w:val="Normal4"/>
              <w:jc w:val="center"/>
              <w:rPr>
                <w:sz w:val="18"/>
                <w:szCs w:val="18"/>
              </w:rPr>
            </w:pPr>
            <w:r>
              <w:rPr>
                <w:rFonts w:ascii="Times New Roman" w:hAnsi="Times New Roman"/>
                <w:sz w:val="18"/>
                <w:szCs w:val="18"/>
              </w:rPr>
              <w:t>0.564 8</w:t>
            </w:r>
          </w:p>
        </w:tc>
        <w:tc>
          <w:tcPr>
            <w:tcW w:w="1201" w:type="dxa"/>
            <w:tcBorders>
              <w:top w:val="nil"/>
              <w:left w:val="nil"/>
              <w:bottom w:val="nil"/>
              <w:right w:val="nil"/>
            </w:tcBorders>
            <w:tcMar>
              <w:top w:w="0" w:type="dxa"/>
              <w:left w:w="43" w:type="dxa"/>
              <w:bottom w:w="0" w:type="dxa"/>
              <w:right w:w="43" w:type="dxa"/>
            </w:tcMar>
            <w:vAlign w:val="center"/>
          </w:tcPr>
          <w:p w14:paraId="65DEE2B7" w14:textId="77777777" w:rsidR="009911A0" w:rsidRDefault="002B582B">
            <w:pPr>
              <w:pStyle w:val="Normal4"/>
              <w:jc w:val="center"/>
              <w:rPr>
                <w:sz w:val="18"/>
                <w:szCs w:val="18"/>
              </w:rPr>
            </w:pPr>
            <w:r>
              <w:rPr>
                <w:rFonts w:ascii="Times New Roman" w:hAnsi="Times New Roman"/>
                <w:sz w:val="18"/>
                <w:szCs w:val="18"/>
              </w:rPr>
              <w:t>0.585 1</w:t>
            </w:r>
          </w:p>
        </w:tc>
      </w:tr>
      <w:tr w:rsidR="009911A0" w14:paraId="3C7D6F86" w14:textId="77777777">
        <w:trPr>
          <w:trHeight w:val="356"/>
          <w:jc w:val="center"/>
        </w:trPr>
        <w:tc>
          <w:tcPr>
            <w:tcW w:w="1267" w:type="dxa"/>
            <w:tcBorders>
              <w:top w:val="nil"/>
              <w:left w:val="nil"/>
              <w:bottom w:val="nil"/>
              <w:right w:val="nil"/>
            </w:tcBorders>
            <w:tcMar>
              <w:top w:w="0" w:type="dxa"/>
              <w:left w:w="43" w:type="dxa"/>
              <w:bottom w:w="0" w:type="dxa"/>
              <w:right w:w="43" w:type="dxa"/>
            </w:tcMar>
            <w:vAlign w:val="center"/>
          </w:tcPr>
          <w:p w14:paraId="1CE079F8" w14:textId="77777777" w:rsidR="009911A0" w:rsidRDefault="002B582B">
            <w:pPr>
              <w:pStyle w:val="Normal4"/>
              <w:tabs>
                <w:tab w:val="left" w:pos="720"/>
              </w:tabs>
              <w:jc w:val="center"/>
              <w:rPr>
                <w:sz w:val="18"/>
                <w:szCs w:val="18"/>
              </w:rPr>
            </w:pPr>
            <w:r>
              <w:rPr>
                <w:rFonts w:ascii="Times New Roman" w:hAnsi="Times New Roman"/>
                <w:sz w:val="18"/>
                <w:szCs w:val="18"/>
              </w:rPr>
              <w:t>100.0</w:t>
            </w:r>
          </w:p>
        </w:tc>
        <w:tc>
          <w:tcPr>
            <w:tcW w:w="1165" w:type="dxa"/>
            <w:tcBorders>
              <w:top w:val="nil"/>
              <w:left w:val="nil"/>
              <w:bottom w:val="nil"/>
              <w:right w:val="nil"/>
            </w:tcBorders>
            <w:tcMar>
              <w:top w:w="0" w:type="dxa"/>
              <w:left w:w="43" w:type="dxa"/>
              <w:bottom w:w="0" w:type="dxa"/>
              <w:right w:w="43" w:type="dxa"/>
            </w:tcMar>
            <w:vAlign w:val="center"/>
          </w:tcPr>
          <w:p w14:paraId="6AB3D8F0" w14:textId="77777777" w:rsidR="009911A0" w:rsidRDefault="002B582B">
            <w:pPr>
              <w:pStyle w:val="Normal4"/>
              <w:jc w:val="center"/>
              <w:rPr>
                <w:sz w:val="18"/>
                <w:szCs w:val="18"/>
              </w:rPr>
            </w:pPr>
            <w:r>
              <w:rPr>
                <w:rFonts w:ascii="Times New Roman" w:hAnsi="Times New Roman"/>
                <w:sz w:val="18"/>
                <w:szCs w:val="18"/>
              </w:rPr>
              <w:t>0.200 0</w:t>
            </w:r>
          </w:p>
        </w:tc>
        <w:tc>
          <w:tcPr>
            <w:tcW w:w="1226" w:type="dxa"/>
            <w:tcBorders>
              <w:top w:val="nil"/>
              <w:left w:val="nil"/>
              <w:bottom w:val="nil"/>
              <w:right w:val="nil"/>
            </w:tcBorders>
            <w:tcMar>
              <w:top w:w="0" w:type="dxa"/>
              <w:left w:w="43" w:type="dxa"/>
              <w:bottom w:w="0" w:type="dxa"/>
              <w:right w:w="43" w:type="dxa"/>
            </w:tcMar>
            <w:vAlign w:val="center"/>
          </w:tcPr>
          <w:p w14:paraId="109651B9" w14:textId="77777777" w:rsidR="009911A0" w:rsidRDefault="002B582B">
            <w:pPr>
              <w:pStyle w:val="Normal4"/>
              <w:jc w:val="center"/>
              <w:rPr>
                <w:sz w:val="18"/>
                <w:szCs w:val="18"/>
              </w:rPr>
            </w:pPr>
            <w:r>
              <w:rPr>
                <w:rFonts w:ascii="Times New Roman" w:hAnsi="Times New Roman"/>
                <w:sz w:val="18"/>
                <w:szCs w:val="18"/>
              </w:rPr>
              <w:t>0.340 3</w:t>
            </w:r>
          </w:p>
        </w:tc>
        <w:tc>
          <w:tcPr>
            <w:tcW w:w="1223" w:type="dxa"/>
            <w:tcBorders>
              <w:top w:val="nil"/>
              <w:left w:val="nil"/>
              <w:bottom w:val="nil"/>
              <w:right w:val="nil"/>
            </w:tcBorders>
            <w:tcMar>
              <w:top w:w="0" w:type="dxa"/>
              <w:left w:w="43" w:type="dxa"/>
              <w:bottom w:w="0" w:type="dxa"/>
              <w:right w:w="43" w:type="dxa"/>
            </w:tcMar>
            <w:vAlign w:val="center"/>
          </w:tcPr>
          <w:p w14:paraId="71C9D436" w14:textId="77777777" w:rsidR="009911A0" w:rsidRDefault="002B582B">
            <w:pPr>
              <w:pStyle w:val="Normal4"/>
              <w:jc w:val="center"/>
              <w:rPr>
                <w:sz w:val="18"/>
                <w:szCs w:val="18"/>
              </w:rPr>
            </w:pPr>
            <w:r>
              <w:rPr>
                <w:rFonts w:ascii="Times New Roman" w:hAnsi="Times New Roman"/>
                <w:sz w:val="18"/>
                <w:szCs w:val="18"/>
              </w:rPr>
              <w:t>0.367 2</w:t>
            </w:r>
          </w:p>
        </w:tc>
        <w:tc>
          <w:tcPr>
            <w:tcW w:w="1223" w:type="dxa"/>
            <w:tcBorders>
              <w:top w:val="nil"/>
              <w:left w:val="nil"/>
              <w:bottom w:val="nil"/>
              <w:right w:val="nil"/>
            </w:tcBorders>
            <w:tcMar>
              <w:top w:w="0" w:type="dxa"/>
              <w:left w:w="43" w:type="dxa"/>
              <w:bottom w:w="0" w:type="dxa"/>
              <w:right w:w="43" w:type="dxa"/>
            </w:tcMar>
            <w:vAlign w:val="center"/>
          </w:tcPr>
          <w:p w14:paraId="66DF09AF" w14:textId="77777777" w:rsidR="009911A0" w:rsidRDefault="002B582B">
            <w:pPr>
              <w:pStyle w:val="Normal4"/>
              <w:jc w:val="center"/>
              <w:rPr>
                <w:sz w:val="18"/>
                <w:szCs w:val="18"/>
              </w:rPr>
            </w:pPr>
            <w:r>
              <w:rPr>
                <w:rFonts w:ascii="Times New Roman" w:hAnsi="Times New Roman"/>
                <w:sz w:val="18"/>
                <w:szCs w:val="18"/>
              </w:rPr>
              <w:t>0.382 6</w:t>
            </w:r>
          </w:p>
        </w:tc>
        <w:tc>
          <w:tcPr>
            <w:tcW w:w="1223" w:type="dxa"/>
            <w:tcBorders>
              <w:top w:val="nil"/>
              <w:left w:val="nil"/>
              <w:bottom w:val="nil"/>
              <w:right w:val="nil"/>
            </w:tcBorders>
            <w:tcMar>
              <w:top w:w="0" w:type="dxa"/>
              <w:left w:w="43" w:type="dxa"/>
              <w:bottom w:w="0" w:type="dxa"/>
              <w:right w:w="43" w:type="dxa"/>
            </w:tcMar>
            <w:vAlign w:val="center"/>
          </w:tcPr>
          <w:p w14:paraId="15837856" w14:textId="77777777" w:rsidR="009911A0" w:rsidRDefault="002B582B">
            <w:pPr>
              <w:pStyle w:val="Normal4"/>
              <w:jc w:val="center"/>
              <w:rPr>
                <w:sz w:val="18"/>
                <w:szCs w:val="18"/>
              </w:rPr>
            </w:pPr>
            <w:r>
              <w:rPr>
                <w:rFonts w:ascii="Times New Roman" w:hAnsi="Times New Roman"/>
                <w:sz w:val="18"/>
                <w:szCs w:val="18"/>
              </w:rPr>
              <w:t>0.393 6</w:t>
            </w:r>
          </w:p>
        </w:tc>
        <w:tc>
          <w:tcPr>
            <w:tcW w:w="1201" w:type="dxa"/>
            <w:tcBorders>
              <w:top w:val="nil"/>
              <w:left w:val="nil"/>
              <w:bottom w:val="nil"/>
              <w:right w:val="nil"/>
            </w:tcBorders>
            <w:tcMar>
              <w:top w:w="0" w:type="dxa"/>
              <w:left w:w="43" w:type="dxa"/>
              <w:bottom w:w="0" w:type="dxa"/>
              <w:right w:w="43" w:type="dxa"/>
            </w:tcMar>
            <w:vAlign w:val="center"/>
          </w:tcPr>
          <w:p w14:paraId="6FAC3516" w14:textId="77777777" w:rsidR="009911A0" w:rsidRDefault="002B582B">
            <w:pPr>
              <w:pStyle w:val="Normal4"/>
              <w:jc w:val="center"/>
              <w:rPr>
                <w:sz w:val="18"/>
                <w:szCs w:val="18"/>
              </w:rPr>
            </w:pPr>
            <w:r>
              <w:rPr>
                <w:rFonts w:ascii="Times New Roman" w:hAnsi="Times New Roman"/>
                <w:sz w:val="18"/>
                <w:szCs w:val="18"/>
              </w:rPr>
              <w:t>0.413 6</w:t>
            </w:r>
          </w:p>
        </w:tc>
      </w:tr>
      <w:tr w:rsidR="009911A0" w14:paraId="27E0F5DB" w14:textId="77777777">
        <w:trPr>
          <w:trHeight w:val="356"/>
          <w:jc w:val="center"/>
        </w:trPr>
        <w:tc>
          <w:tcPr>
            <w:tcW w:w="1267" w:type="dxa"/>
            <w:tcBorders>
              <w:top w:val="nil"/>
              <w:left w:val="nil"/>
              <w:bottom w:val="nil"/>
              <w:right w:val="nil"/>
            </w:tcBorders>
            <w:tcMar>
              <w:top w:w="0" w:type="dxa"/>
              <w:left w:w="43" w:type="dxa"/>
              <w:bottom w:w="0" w:type="dxa"/>
              <w:right w:w="43" w:type="dxa"/>
            </w:tcMar>
            <w:vAlign w:val="center"/>
          </w:tcPr>
          <w:p w14:paraId="332C3C20" w14:textId="77777777" w:rsidR="009911A0" w:rsidRDefault="002B582B">
            <w:pPr>
              <w:pStyle w:val="Normal4"/>
              <w:tabs>
                <w:tab w:val="left" w:pos="720"/>
              </w:tabs>
              <w:jc w:val="center"/>
              <w:rPr>
                <w:sz w:val="18"/>
                <w:szCs w:val="18"/>
              </w:rPr>
            </w:pPr>
            <w:r>
              <w:rPr>
                <w:rFonts w:ascii="Times New Roman" w:hAnsi="Times New Roman"/>
                <w:sz w:val="18"/>
                <w:szCs w:val="18"/>
              </w:rPr>
              <w:t>500.0</w:t>
            </w:r>
          </w:p>
        </w:tc>
        <w:tc>
          <w:tcPr>
            <w:tcW w:w="1165" w:type="dxa"/>
            <w:tcBorders>
              <w:top w:val="nil"/>
              <w:left w:val="nil"/>
              <w:bottom w:val="nil"/>
              <w:right w:val="nil"/>
            </w:tcBorders>
            <w:tcMar>
              <w:top w:w="0" w:type="dxa"/>
              <w:left w:w="43" w:type="dxa"/>
              <w:bottom w:w="0" w:type="dxa"/>
              <w:right w:w="43" w:type="dxa"/>
            </w:tcMar>
            <w:vAlign w:val="center"/>
          </w:tcPr>
          <w:p w14:paraId="430B664D" w14:textId="77777777" w:rsidR="009911A0" w:rsidRDefault="002B582B">
            <w:pPr>
              <w:pStyle w:val="Normal4"/>
              <w:jc w:val="center"/>
              <w:rPr>
                <w:sz w:val="18"/>
                <w:szCs w:val="18"/>
              </w:rPr>
            </w:pPr>
            <w:r>
              <w:rPr>
                <w:rFonts w:ascii="Times New Roman" w:hAnsi="Times New Roman"/>
                <w:sz w:val="18"/>
                <w:szCs w:val="18"/>
              </w:rPr>
              <w:t>0.120 0</w:t>
            </w:r>
          </w:p>
        </w:tc>
        <w:tc>
          <w:tcPr>
            <w:tcW w:w="1226" w:type="dxa"/>
            <w:tcBorders>
              <w:top w:val="nil"/>
              <w:left w:val="nil"/>
              <w:bottom w:val="nil"/>
              <w:right w:val="nil"/>
            </w:tcBorders>
            <w:tcMar>
              <w:top w:w="0" w:type="dxa"/>
              <w:left w:w="43" w:type="dxa"/>
              <w:bottom w:w="0" w:type="dxa"/>
              <w:right w:w="43" w:type="dxa"/>
            </w:tcMar>
            <w:vAlign w:val="center"/>
          </w:tcPr>
          <w:p w14:paraId="2760672C" w14:textId="77777777" w:rsidR="009911A0" w:rsidRDefault="002B582B">
            <w:pPr>
              <w:pStyle w:val="Normal4"/>
              <w:jc w:val="center"/>
              <w:rPr>
                <w:sz w:val="18"/>
                <w:szCs w:val="18"/>
              </w:rPr>
            </w:pPr>
            <w:r>
              <w:rPr>
                <w:rFonts w:ascii="Times New Roman" w:hAnsi="Times New Roman"/>
                <w:sz w:val="18"/>
                <w:szCs w:val="18"/>
              </w:rPr>
              <w:t>0.093 5</w:t>
            </w:r>
          </w:p>
        </w:tc>
        <w:tc>
          <w:tcPr>
            <w:tcW w:w="1223" w:type="dxa"/>
            <w:tcBorders>
              <w:top w:val="nil"/>
              <w:left w:val="nil"/>
              <w:bottom w:val="nil"/>
              <w:right w:val="nil"/>
            </w:tcBorders>
            <w:tcMar>
              <w:top w:w="0" w:type="dxa"/>
              <w:left w:w="43" w:type="dxa"/>
              <w:bottom w:w="0" w:type="dxa"/>
              <w:right w:w="43" w:type="dxa"/>
            </w:tcMar>
            <w:vAlign w:val="center"/>
          </w:tcPr>
          <w:p w14:paraId="3862DC99" w14:textId="77777777" w:rsidR="009911A0" w:rsidRDefault="002B582B">
            <w:pPr>
              <w:pStyle w:val="Normal4"/>
              <w:jc w:val="center"/>
              <w:rPr>
                <w:sz w:val="18"/>
                <w:szCs w:val="18"/>
              </w:rPr>
            </w:pPr>
            <w:r>
              <w:rPr>
                <w:rFonts w:ascii="Times New Roman" w:hAnsi="Times New Roman"/>
                <w:sz w:val="18"/>
                <w:szCs w:val="18"/>
              </w:rPr>
              <w:t>0.104 0</w:t>
            </w:r>
          </w:p>
        </w:tc>
        <w:tc>
          <w:tcPr>
            <w:tcW w:w="1223" w:type="dxa"/>
            <w:tcBorders>
              <w:top w:val="nil"/>
              <w:left w:val="nil"/>
              <w:bottom w:val="nil"/>
              <w:right w:val="nil"/>
            </w:tcBorders>
            <w:tcMar>
              <w:top w:w="0" w:type="dxa"/>
              <w:left w:w="43" w:type="dxa"/>
              <w:bottom w:w="0" w:type="dxa"/>
              <w:right w:w="43" w:type="dxa"/>
            </w:tcMar>
            <w:vAlign w:val="center"/>
          </w:tcPr>
          <w:p w14:paraId="43B5BCB6" w14:textId="77777777" w:rsidR="009911A0" w:rsidRDefault="002B582B">
            <w:pPr>
              <w:pStyle w:val="Normal4"/>
              <w:jc w:val="center"/>
              <w:rPr>
                <w:sz w:val="18"/>
                <w:szCs w:val="18"/>
              </w:rPr>
            </w:pPr>
            <w:r>
              <w:rPr>
                <w:rFonts w:ascii="Times New Roman" w:hAnsi="Times New Roman"/>
                <w:sz w:val="18"/>
                <w:szCs w:val="18"/>
              </w:rPr>
              <w:t>0.110 3</w:t>
            </w:r>
          </w:p>
        </w:tc>
        <w:tc>
          <w:tcPr>
            <w:tcW w:w="1223" w:type="dxa"/>
            <w:tcBorders>
              <w:top w:val="nil"/>
              <w:left w:val="nil"/>
              <w:bottom w:val="nil"/>
              <w:right w:val="nil"/>
            </w:tcBorders>
            <w:tcMar>
              <w:top w:w="0" w:type="dxa"/>
              <w:left w:w="43" w:type="dxa"/>
              <w:bottom w:w="0" w:type="dxa"/>
              <w:right w:w="43" w:type="dxa"/>
            </w:tcMar>
            <w:vAlign w:val="center"/>
          </w:tcPr>
          <w:p w14:paraId="2E1577DF" w14:textId="77777777" w:rsidR="009911A0" w:rsidRDefault="002B582B">
            <w:pPr>
              <w:pStyle w:val="Normal4"/>
              <w:jc w:val="center"/>
              <w:rPr>
                <w:sz w:val="18"/>
                <w:szCs w:val="18"/>
              </w:rPr>
            </w:pPr>
            <w:r>
              <w:rPr>
                <w:rFonts w:ascii="Times New Roman" w:hAnsi="Times New Roman"/>
                <w:sz w:val="18"/>
                <w:szCs w:val="18"/>
              </w:rPr>
              <w:t>0.114 9</w:t>
            </w:r>
          </w:p>
        </w:tc>
        <w:tc>
          <w:tcPr>
            <w:tcW w:w="1201" w:type="dxa"/>
            <w:tcBorders>
              <w:top w:val="nil"/>
              <w:left w:val="nil"/>
              <w:bottom w:val="nil"/>
              <w:right w:val="nil"/>
            </w:tcBorders>
            <w:tcMar>
              <w:top w:w="0" w:type="dxa"/>
              <w:left w:w="43" w:type="dxa"/>
              <w:bottom w:w="0" w:type="dxa"/>
              <w:right w:w="43" w:type="dxa"/>
            </w:tcMar>
            <w:vAlign w:val="center"/>
          </w:tcPr>
          <w:p w14:paraId="08A4731E" w14:textId="77777777" w:rsidR="009911A0" w:rsidRDefault="002B582B">
            <w:pPr>
              <w:pStyle w:val="Normal4"/>
              <w:jc w:val="center"/>
              <w:rPr>
                <w:sz w:val="18"/>
                <w:szCs w:val="18"/>
              </w:rPr>
            </w:pPr>
            <w:r>
              <w:rPr>
                <w:rFonts w:ascii="Times New Roman" w:hAnsi="Times New Roman"/>
                <w:sz w:val="18"/>
                <w:szCs w:val="18"/>
              </w:rPr>
              <w:t>0.123 6</w:t>
            </w:r>
          </w:p>
        </w:tc>
      </w:tr>
      <w:tr w:rsidR="009911A0" w14:paraId="45B2A65B" w14:textId="77777777">
        <w:trPr>
          <w:trHeight w:val="356"/>
          <w:jc w:val="center"/>
        </w:trPr>
        <w:tc>
          <w:tcPr>
            <w:tcW w:w="1267" w:type="dxa"/>
            <w:tcBorders>
              <w:top w:val="nil"/>
              <w:left w:val="nil"/>
              <w:bottom w:val="single" w:sz="7" w:space="0" w:color="auto"/>
              <w:right w:val="nil"/>
            </w:tcBorders>
            <w:tcMar>
              <w:top w:w="0" w:type="dxa"/>
              <w:left w:w="43" w:type="dxa"/>
              <w:bottom w:w="0" w:type="dxa"/>
              <w:right w:w="43" w:type="dxa"/>
            </w:tcMar>
            <w:vAlign w:val="center"/>
          </w:tcPr>
          <w:p w14:paraId="7C448F9F" w14:textId="77777777" w:rsidR="009911A0" w:rsidRDefault="002B582B">
            <w:pPr>
              <w:pStyle w:val="Normal4"/>
              <w:tabs>
                <w:tab w:val="left" w:pos="720"/>
              </w:tabs>
              <w:jc w:val="center"/>
              <w:rPr>
                <w:sz w:val="18"/>
                <w:szCs w:val="18"/>
              </w:rPr>
            </w:pPr>
            <w:r>
              <w:rPr>
                <w:rFonts w:ascii="Times New Roman" w:hAnsi="Times New Roman"/>
                <w:sz w:val="18"/>
                <w:szCs w:val="18"/>
              </w:rPr>
              <w:t>1 000.0</w:t>
            </w:r>
          </w:p>
        </w:tc>
        <w:tc>
          <w:tcPr>
            <w:tcW w:w="1165" w:type="dxa"/>
            <w:tcBorders>
              <w:top w:val="nil"/>
              <w:left w:val="nil"/>
              <w:bottom w:val="single" w:sz="7" w:space="0" w:color="auto"/>
              <w:right w:val="nil"/>
            </w:tcBorders>
            <w:tcMar>
              <w:top w:w="0" w:type="dxa"/>
              <w:left w:w="43" w:type="dxa"/>
              <w:bottom w:w="0" w:type="dxa"/>
              <w:right w:w="43" w:type="dxa"/>
            </w:tcMar>
            <w:vAlign w:val="center"/>
          </w:tcPr>
          <w:p w14:paraId="6D46C863" w14:textId="77777777" w:rsidR="009911A0" w:rsidRDefault="002B582B">
            <w:pPr>
              <w:pStyle w:val="Normal4"/>
              <w:tabs>
                <w:tab w:val="left" w:pos="720"/>
              </w:tabs>
              <w:jc w:val="center"/>
              <w:rPr>
                <w:sz w:val="18"/>
                <w:szCs w:val="18"/>
              </w:rPr>
            </w:pPr>
            <w:r>
              <w:rPr>
                <w:rFonts w:ascii="Times New Roman" w:hAnsi="Times New Roman"/>
                <w:sz w:val="18"/>
                <w:szCs w:val="18"/>
              </w:rPr>
              <w:t>0.100 0</w:t>
            </w:r>
          </w:p>
        </w:tc>
        <w:tc>
          <w:tcPr>
            <w:tcW w:w="1226" w:type="dxa"/>
            <w:tcBorders>
              <w:top w:val="nil"/>
              <w:left w:val="nil"/>
              <w:bottom w:val="single" w:sz="7" w:space="0" w:color="auto"/>
              <w:right w:val="nil"/>
            </w:tcBorders>
            <w:tcMar>
              <w:top w:w="0" w:type="dxa"/>
              <w:left w:w="43" w:type="dxa"/>
              <w:bottom w:w="0" w:type="dxa"/>
              <w:right w:w="43" w:type="dxa"/>
            </w:tcMar>
            <w:vAlign w:val="center"/>
          </w:tcPr>
          <w:p w14:paraId="4F826118" w14:textId="77777777" w:rsidR="009911A0" w:rsidRDefault="002B582B">
            <w:pPr>
              <w:pStyle w:val="Normal4"/>
              <w:tabs>
                <w:tab w:val="left" w:pos="720"/>
              </w:tabs>
              <w:jc w:val="center"/>
              <w:rPr>
                <w:sz w:val="18"/>
                <w:szCs w:val="18"/>
              </w:rPr>
            </w:pPr>
            <w:r>
              <w:rPr>
                <w:rFonts w:ascii="Times New Roman" w:hAnsi="Times New Roman"/>
                <w:sz w:val="18"/>
                <w:szCs w:val="18"/>
              </w:rPr>
              <w:t>0.049 1</w:t>
            </w:r>
          </w:p>
        </w:tc>
        <w:tc>
          <w:tcPr>
            <w:tcW w:w="1223" w:type="dxa"/>
            <w:tcBorders>
              <w:top w:val="nil"/>
              <w:left w:val="nil"/>
              <w:bottom w:val="single" w:sz="7" w:space="0" w:color="auto"/>
              <w:right w:val="nil"/>
            </w:tcBorders>
            <w:tcMar>
              <w:top w:w="0" w:type="dxa"/>
              <w:left w:w="43" w:type="dxa"/>
              <w:bottom w:w="0" w:type="dxa"/>
              <w:right w:w="43" w:type="dxa"/>
            </w:tcMar>
            <w:vAlign w:val="center"/>
          </w:tcPr>
          <w:p w14:paraId="57D3BB8C" w14:textId="77777777" w:rsidR="009911A0" w:rsidRDefault="002B582B">
            <w:pPr>
              <w:pStyle w:val="Normal4"/>
              <w:tabs>
                <w:tab w:val="left" w:pos="720"/>
              </w:tabs>
              <w:jc w:val="center"/>
              <w:rPr>
                <w:sz w:val="18"/>
                <w:szCs w:val="18"/>
              </w:rPr>
            </w:pPr>
            <w:r>
              <w:rPr>
                <w:rFonts w:ascii="Times New Roman" w:hAnsi="Times New Roman"/>
                <w:sz w:val="18"/>
                <w:szCs w:val="18"/>
              </w:rPr>
              <w:t>0.054 8</w:t>
            </w:r>
          </w:p>
        </w:tc>
        <w:tc>
          <w:tcPr>
            <w:tcW w:w="1223" w:type="dxa"/>
            <w:tcBorders>
              <w:top w:val="nil"/>
              <w:left w:val="nil"/>
              <w:bottom w:val="single" w:sz="7" w:space="0" w:color="auto"/>
              <w:right w:val="nil"/>
            </w:tcBorders>
            <w:tcMar>
              <w:top w:w="0" w:type="dxa"/>
              <w:left w:w="43" w:type="dxa"/>
              <w:bottom w:w="0" w:type="dxa"/>
              <w:right w:w="43" w:type="dxa"/>
            </w:tcMar>
            <w:vAlign w:val="center"/>
          </w:tcPr>
          <w:p w14:paraId="70CEBDED" w14:textId="77777777" w:rsidR="009911A0" w:rsidRDefault="002B582B">
            <w:pPr>
              <w:pStyle w:val="Normal4"/>
              <w:tabs>
                <w:tab w:val="left" w:pos="720"/>
              </w:tabs>
              <w:jc w:val="center"/>
              <w:rPr>
                <w:sz w:val="18"/>
                <w:szCs w:val="18"/>
              </w:rPr>
            </w:pPr>
            <w:r>
              <w:rPr>
                <w:rFonts w:ascii="Times New Roman" w:hAnsi="Times New Roman"/>
                <w:sz w:val="18"/>
                <w:szCs w:val="18"/>
              </w:rPr>
              <w:t>0.058 3</w:t>
            </w:r>
          </w:p>
        </w:tc>
        <w:tc>
          <w:tcPr>
            <w:tcW w:w="1223" w:type="dxa"/>
            <w:tcBorders>
              <w:top w:val="nil"/>
              <w:left w:val="nil"/>
              <w:bottom w:val="single" w:sz="7" w:space="0" w:color="auto"/>
              <w:right w:val="nil"/>
            </w:tcBorders>
            <w:tcMar>
              <w:top w:w="0" w:type="dxa"/>
              <w:left w:w="43" w:type="dxa"/>
              <w:bottom w:w="0" w:type="dxa"/>
              <w:right w:w="43" w:type="dxa"/>
            </w:tcMar>
            <w:vAlign w:val="center"/>
          </w:tcPr>
          <w:p w14:paraId="465925A8" w14:textId="77777777" w:rsidR="009911A0" w:rsidRDefault="002B582B">
            <w:pPr>
              <w:pStyle w:val="Normal4"/>
              <w:tabs>
                <w:tab w:val="left" w:pos="720"/>
              </w:tabs>
              <w:jc w:val="center"/>
              <w:rPr>
                <w:sz w:val="18"/>
                <w:szCs w:val="18"/>
              </w:rPr>
            </w:pPr>
            <w:r>
              <w:rPr>
                <w:rFonts w:ascii="Times New Roman" w:hAnsi="Times New Roman"/>
                <w:sz w:val="18"/>
                <w:szCs w:val="18"/>
              </w:rPr>
              <w:t>0.060 9</w:t>
            </w:r>
          </w:p>
        </w:tc>
        <w:tc>
          <w:tcPr>
            <w:tcW w:w="1201" w:type="dxa"/>
            <w:tcBorders>
              <w:top w:val="nil"/>
              <w:left w:val="nil"/>
              <w:bottom w:val="single" w:sz="7" w:space="0" w:color="auto"/>
              <w:right w:val="nil"/>
            </w:tcBorders>
            <w:tcMar>
              <w:top w:w="0" w:type="dxa"/>
              <w:left w:w="43" w:type="dxa"/>
              <w:bottom w:w="0" w:type="dxa"/>
              <w:right w:w="43" w:type="dxa"/>
            </w:tcMar>
            <w:vAlign w:val="center"/>
          </w:tcPr>
          <w:p w14:paraId="650681E9" w14:textId="77777777" w:rsidR="009911A0" w:rsidRDefault="002B582B">
            <w:pPr>
              <w:pStyle w:val="Normal4"/>
              <w:tabs>
                <w:tab w:val="left" w:pos="720"/>
              </w:tabs>
              <w:jc w:val="center"/>
              <w:rPr>
                <w:sz w:val="18"/>
                <w:szCs w:val="18"/>
              </w:rPr>
            </w:pPr>
            <w:r>
              <w:rPr>
                <w:rFonts w:ascii="Times New Roman" w:hAnsi="Times New Roman"/>
                <w:sz w:val="18"/>
                <w:szCs w:val="18"/>
              </w:rPr>
              <w:t>0.065 9</w:t>
            </w:r>
          </w:p>
        </w:tc>
      </w:tr>
    </w:tbl>
    <w:p w14:paraId="71A4BB4F" w14:textId="77777777" w:rsidR="009911A0" w:rsidRDefault="002B582B">
      <w:pPr>
        <w:pStyle w:val="Normal4"/>
        <w:jc w:val="center"/>
        <w:rPr>
          <w:rStyle w:val="af2"/>
        </w:rPr>
      </w:pPr>
      <w:r>
        <w:rPr>
          <w:noProof/>
        </w:rPr>
        <w:lastRenderedPageBreak/>
        <w:drawing>
          <wp:inline distT="0" distB="0" distL="0" distR="0" wp14:anchorId="77AB8B7C" wp14:editId="0B1316CD">
            <wp:extent cx="5760000" cy="3240000"/>
            <wp:effectExtent l="0" t="0" r="0" b="0"/>
            <wp:docPr id="2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pic:nvPicPr>
                  <pic:blipFill>
                    <a:blip r:embed="rId12"/>
                    <a:stretch>
                      <a:fillRect/>
                    </a:stretch>
                  </pic:blipFill>
                  <pic:spPr>
                    <a:xfrm>
                      <a:off x="0" y="0"/>
                      <a:ext cx="5760000" cy="3240000"/>
                    </a:xfrm>
                    <a:prstGeom prst="rect">
                      <a:avLst/>
                    </a:prstGeom>
                  </pic:spPr>
                </pic:pic>
              </a:graphicData>
            </a:graphic>
          </wp:inline>
        </w:drawing>
      </w:r>
    </w:p>
    <w:p w14:paraId="57B2C620" w14:textId="77777777" w:rsidR="009911A0" w:rsidRDefault="002B582B" w:rsidP="002344C4">
      <w:pPr>
        <w:pStyle w:val="Normalwrd1"/>
        <w:ind w:firstLineChars="200" w:firstLine="361"/>
        <w:jc w:val="center"/>
        <w:rPr>
          <w:rStyle w:val="af2"/>
          <w:rFonts w:ascii="黑体" w:eastAsia="黑体" w:hAnsi="黑体"/>
          <w:b/>
          <w:sz w:val="18"/>
          <w:szCs w:val="18"/>
        </w:rPr>
      </w:pPr>
      <w:r>
        <w:rPr>
          <w:rStyle w:val="af2"/>
          <w:rFonts w:ascii="黑体" w:eastAsia="黑体" w:hAnsi="黑体"/>
          <w:b/>
          <w:sz w:val="18"/>
          <w:szCs w:val="18"/>
        </w:rPr>
        <w:t>图</w:t>
      </w:r>
      <w:r>
        <w:rPr>
          <w:rStyle w:val="af2"/>
          <w:b/>
          <w:sz w:val="18"/>
          <w:szCs w:val="18"/>
        </w:rPr>
        <w:t xml:space="preserve"> 6</w:t>
      </w:r>
      <w:r>
        <w:rPr>
          <w:rStyle w:val="af2"/>
          <w:rFonts w:ascii="黑体" w:eastAsia="黑体" w:hAnsi="黑体"/>
          <w:b/>
          <w:sz w:val="18"/>
          <w:szCs w:val="18"/>
        </w:rPr>
        <w:t xml:space="preserve">  动剪切模量比验证结果</w:t>
      </w:r>
    </w:p>
    <w:p w14:paraId="0067A05B" w14:textId="77777777" w:rsidR="00A74AAF" w:rsidRPr="0050586C" w:rsidRDefault="00A74AAF" w:rsidP="00A74AAF">
      <w:pPr>
        <w:pStyle w:val="Normalwrd1"/>
        <w:ind w:firstLineChars="200" w:firstLine="361"/>
        <w:jc w:val="center"/>
        <w:rPr>
          <w:rStyle w:val="af2"/>
          <w:rFonts w:cs="Times New Roman"/>
        </w:rPr>
      </w:pPr>
      <w:r w:rsidRPr="0050586C">
        <w:rPr>
          <w:rStyle w:val="af2"/>
          <w:rFonts w:eastAsia="黑体" w:cs="Times New Roman"/>
          <w:b/>
          <w:sz w:val="18"/>
          <w:szCs w:val="18"/>
        </w:rPr>
        <w:t>Fig.6 Verification</w:t>
      </w:r>
      <w:r w:rsidR="001E6ABC" w:rsidRPr="0050586C">
        <w:rPr>
          <w:rStyle w:val="af2"/>
          <w:rFonts w:eastAsia="黑体" w:cs="Times New Roman"/>
          <w:b/>
          <w:sz w:val="18"/>
          <w:szCs w:val="18"/>
        </w:rPr>
        <w:t xml:space="preserve"> results of dynamic shear modulus rates</w:t>
      </w:r>
    </w:p>
    <w:p w14:paraId="227F77A9" w14:textId="77777777" w:rsidR="009911A0" w:rsidRDefault="002B582B" w:rsidP="002344C4">
      <w:pPr>
        <w:pStyle w:val="Normalwrd1"/>
        <w:ind w:firstLineChars="200" w:firstLine="420"/>
        <w:jc w:val="center"/>
        <w:rPr>
          <w:rStyle w:val="af2"/>
        </w:rPr>
      </w:pPr>
      <w:r>
        <w:rPr>
          <w:noProof/>
        </w:rPr>
        <w:drawing>
          <wp:inline distT="0" distB="0" distL="0" distR="0" wp14:anchorId="765E6899" wp14:editId="1EDFA348">
            <wp:extent cx="2556000" cy="1800000"/>
            <wp:effectExtent l="0" t="0" r="0" b="0"/>
            <wp:docPr id="30"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pic:nvPicPr>
                  <pic:blipFill>
                    <a:blip r:embed="rId13"/>
                    <a:stretch>
                      <a:fillRect/>
                    </a:stretch>
                  </pic:blipFill>
                  <pic:spPr>
                    <a:xfrm>
                      <a:off x="0" y="0"/>
                      <a:ext cx="2556000" cy="1800000"/>
                    </a:xfrm>
                    <a:prstGeom prst="rect">
                      <a:avLst/>
                    </a:prstGeom>
                  </pic:spPr>
                </pic:pic>
              </a:graphicData>
            </a:graphic>
          </wp:inline>
        </w:drawing>
      </w:r>
    </w:p>
    <w:p w14:paraId="0F1E5582" w14:textId="77777777" w:rsidR="009911A0" w:rsidRDefault="002B582B" w:rsidP="002344C4">
      <w:pPr>
        <w:pStyle w:val="Normalwrd1"/>
        <w:ind w:firstLineChars="200" w:firstLine="420"/>
        <w:jc w:val="center"/>
        <w:rPr>
          <w:rStyle w:val="af2"/>
          <w:rFonts w:ascii="黑体" w:eastAsia="黑体" w:hAnsi="黑体"/>
          <w:b/>
          <w:sz w:val="18"/>
          <w:szCs w:val="18"/>
        </w:rPr>
      </w:pPr>
      <w:r>
        <w:rPr>
          <w:rStyle w:val="af2"/>
        </w:rPr>
        <w:t xml:space="preserve"> </w:t>
      </w:r>
      <w:r>
        <w:rPr>
          <w:rStyle w:val="af2"/>
          <w:rFonts w:ascii="黑体" w:eastAsia="黑体" w:hAnsi="黑体"/>
          <w:b/>
          <w:sz w:val="18"/>
          <w:szCs w:val="18"/>
        </w:rPr>
        <w:t>图</w:t>
      </w:r>
      <w:r>
        <w:rPr>
          <w:rStyle w:val="af2"/>
          <w:b/>
          <w:sz w:val="18"/>
          <w:szCs w:val="18"/>
        </w:rPr>
        <w:t xml:space="preserve"> 7</w:t>
      </w:r>
      <w:r>
        <w:rPr>
          <w:rStyle w:val="af2"/>
          <w:rFonts w:ascii="黑体" w:eastAsia="黑体" w:hAnsi="黑体"/>
          <w:b/>
          <w:sz w:val="18"/>
          <w:szCs w:val="18"/>
        </w:rPr>
        <w:t xml:space="preserve">  不同应变水平</w:t>
      </w:r>
      <w:proofErr w:type="gramStart"/>
      <w:r>
        <w:rPr>
          <w:rStyle w:val="af2"/>
          <w:rFonts w:ascii="黑体" w:eastAsia="黑体" w:hAnsi="黑体"/>
          <w:b/>
          <w:sz w:val="18"/>
          <w:szCs w:val="18"/>
        </w:rPr>
        <w:t>下滞回</w:t>
      </w:r>
      <w:proofErr w:type="gramEnd"/>
      <w:r>
        <w:rPr>
          <w:rStyle w:val="af2"/>
          <w:rFonts w:ascii="黑体" w:eastAsia="黑体" w:hAnsi="黑体"/>
          <w:b/>
          <w:sz w:val="18"/>
          <w:szCs w:val="18"/>
        </w:rPr>
        <w:t>曲线</w:t>
      </w:r>
    </w:p>
    <w:p w14:paraId="19C30630" w14:textId="77777777" w:rsidR="001E6ABC" w:rsidRPr="0050586C" w:rsidRDefault="001E6ABC" w:rsidP="001E6ABC">
      <w:pPr>
        <w:pStyle w:val="Normalwrd1"/>
        <w:ind w:firstLineChars="200" w:firstLine="361"/>
        <w:jc w:val="center"/>
        <w:rPr>
          <w:rStyle w:val="af2"/>
          <w:rFonts w:cs="Times New Roman"/>
        </w:rPr>
      </w:pPr>
      <w:r w:rsidRPr="0050586C">
        <w:rPr>
          <w:rStyle w:val="af2"/>
          <w:rFonts w:eastAsia="黑体" w:cs="Times New Roman"/>
          <w:b/>
          <w:sz w:val="18"/>
          <w:szCs w:val="18"/>
        </w:rPr>
        <w:t>Fig.7 Hysteresis curves under different strains</w:t>
      </w:r>
    </w:p>
    <w:p w14:paraId="69D12E7C" w14:textId="77777777" w:rsidR="009911A0" w:rsidRDefault="00DC3581" w:rsidP="000F7B54">
      <w:pPr>
        <w:pStyle w:val="Normalwrd1"/>
        <w:spacing w:beforeLines="100" w:before="240" w:afterLines="100" w:after="240"/>
        <w:rPr>
          <w:rStyle w:val="af2"/>
          <w:rFonts w:ascii="黑体" w:eastAsia="黑体" w:hAnsi="黑体"/>
          <w:b/>
        </w:rPr>
      </w:pPr>
      <w:r>
        <w:rPr>
          <w:rStyle w:val="af2"/>
          <w:rFonts w:hint="eastAsia"/>
          <w:b/>
        </w:rPr>
        <w:t>3</w:t>
      </w:r>
      <w:r w:rsidR="00245684">
        <w:rPr>
          <w:rStyle w:val="af2"/>
          <w:rFonts w:ascii="黑体" w:eastAsia="黑体" w:hAnsi="黑体" w:hint="eastAsia"/>
          <w:b/>
        </w:rPr>
        <w:t xml:space="preserve">  </w:t>
      </w:r>
      <w:r w:rsidR="002B582B">
        <w:rPr>
          <w:rStyle w:val="af2"/>
          <w:rFonts w:ascii="黑体" w:eastAsia="黑体" w:hAnsi="黑体"/>
          <w:b/>
        </w:rPr>
        <w:t>结论</w:t>
      </w:r>
    </w:p>
    <w:p w14:paraId="18F13D17" w14:textId="77777777" w:rsidR="009911A0" w:rsidRDefault="002B582B">
      <w:pPr>
        <w:pStyle w:val="Normalwrd1"/>
        <w:rPr>
          <w:rStyle w:val="af2"/>
        </w:rPr>
      </w:pPr>
      <w:r>
        <w:rPr>
          <w:rStyle w:val="af2"/>
        </w:rPr>
        <w:t xml:space="preserve">　　</w:t>
      </w:r>
      <w:r>
        <w:rPr>
          <w:rStyle w:val="af2"/>
          <w:rFonts w:ascii="宋体" w:eastAsia="宋体" w:hAnsi="宋体"/>
        </w:rPr>
        <w:t>（</w:t>
      </w:r>
      <w:r>
        <w:rPr>
          <w:rStyle w:val="af2"/>
        </w:rPr>
        <w:t>1</w:t>
      </w:r>
      <w:r>
        <w:rPr>
          <w:rStyle w:val="af2"/>
          <w:rFonts w:ascii="宋体" w:eastAsia="宋体" w:hAnsi="宋体"/>
        </w:rPr>
        <w:t>）</w:t>
      </w:r>
      <w:r>
        <w:rPr>
          <w:rStyle w:val="af2"/>
        </w:rPr>
        <w:t>构造了</w:t>
      </w:r>
      <w:r>
        <w:rPr>
          <w:rStyle w:val="af2"/>
          <w:rFonts w:ascii="方正科技符号" w:eastAsia="方正科技符号" w:hAnsi="方正科技符号"/>
        </w:rPr>
        <w:t>Logistic</w:t>
      </w:r>
      <w:proofErr w:type="gramStart"/>
      <w:r>
        <w:rPr>
          <w:rStyle w:val="af2"/>
        </w:rPr>
        <w:t>函数型土体</w:t>
      </w:r>
      <w:proofErr w:type="gramEnd"/>
      <w:r>
        <w:rPr>
          <w:rStyle w:val="af2"/>
        </w:rPr>
        <w:t>非线性</w:t>
      </w:r>
      <w:proofErr w:type="gramStart"/>
      <w:r>
        <w:rPr>
          <w:rStyle w:val="af2"/>
        </w:rPr>
        <w:t>动力本构模型</w:t>
      </w:r>
      <w:proofErr w:type="gramEnd"/>
      <w:r>
        <w:rPr>
          <w:rStyle w:val="af2"/>
        </w:rPr>
        <w:t>，该模型数学形式简单，骨架曲线与</w:t>
      </w:r>
      <w:proofErr w:type="gramStart"/>
      <w:r>
        <w:rPr>
          <w:rStyle w:val="af2"/>
        </w:rPr>
        <w:t>后继滞回曲线</w:t>
      </w:r>
      <w:proofErr w:type="gramEnd"/>
      <w:r>
        <w:rPr>
          <w:rStyle w:val="af2"/>
        </w:rPr>
        <w:t>有统一的表达式，物理意义明确</w:t>
      </w:r>
      <w:proofErr w:type="gramStart"/>
      <w:r>
        <w:rPr>
          <w:rStyle w:val="af2"/>
        </w:rPr>
        <w:t>且滞回</w:t>
      </w:r>
      <w:proofErr w:type="gramEnd"/>
      <w:r>
        <w:rPr>
          <w:rStyle w:val="af2"/>
        </w:rPr>
        <w:t>曲线能自动满足</w:t>
      </w:r>
      <w:r>
        <w:rPr>
          <w:rStyle w:val="af2"/>
          <w:rFonts w:ascii="方正科技符号" w:eastAsia="方正科技符号" w:hAnsi="方正科技符号"/>
        </w:rPr>
        <w:t>Masing</w:t>
      </w:r>
      <w:r>
        <w:rPr>
          <w:rStyle w:val="af2"/>
        </w:rPr>
        <w:t>准则，方便数值应用。</w:t>
      </w:r>
      <w:r>
        <w:rPr>
          <w:rStyle w:val="af2"/>
        </w:rPr>
        <w:t xml:space="preserve"> </w:t>
      </w:r>
    </w:p>
    <w:p w14:paraId="79C1605C" w14:textId="77777777" w:rsidR="009911A0" w:rsidRDefault="002B582B">
      <w:pPr>
        <w:pStyle w:val="Normalwrd1"/>
        <w:rPr>
          <w:rStyle w:val="af2"/>
        </w:rPr>
      </w:pPr>
      <w:r>
        <w:rPr>
          <w:rStyle w:val="af2"/>
        </w:rPr>
        <w:t xml:space="preserve">        </w:t>
      </w:r>
      <w:r>
        <w:rPr>
          <w:rStyle w:val="af2"/>
          <w:rFonts w:ascii="宋体" w:eastAsia="宋体" w:hAnsi="宋体"/>
        </w:rPr>
        <w:t>（</w:t>
      </w:r>
      <w:r>
        <w:rPr>
          <w:rStyle w:val="af2"/>
        </w:rPr>
        <w:t>2</w:t>
      </w:r>
      <w:r>
        <w:rPr>
          <w:rStyle w:val="af2"/>
          <w:rFonts w:ascii="宋体" w:eastAsia="宋体" w:hAnsi="宋体"/>
        </w:rPr>
        <w:t>）</w:t>
      </w:r>
      <w:r>
        <w:rPr>
          <w:rStyle w:val="af2"/>
        </w:rPr>
        <w:t>通过典型软土的剪切模量比与剪应变幅试验数据验证了</w:t>
      </w:r>
      <w:r>
        <w:rPr>
          <w:rStyle w:val="af2"/>
          <w:rFonts w:ascii="方正科技符号" w:eastAsia="方正科技符号" w:hAnsi="方正科技符号"/>
        </w:rPr>
        <w:t>Logistic</w:t>
      </w:r>
      <w:r>
        <w:rPr>
          <w:rStyle w:val="af2"/>
        </w:rPr>
        <w:t>函数型模型有效，并通过应力</w:t>
      </w:r>
      <w:r>
        <w:rPr>
          <w:rStyle w:val="af2"/>
          <w:rFonts w:ascii="宋体" w:eastAsia="宋体" w:hAnsi="宋体"/>
        </w:rPr>
        <w:t>-</w:t>
      </w:r>
      <w:proofErr w:type="gramStart"/>
      <w:r>
        <w:rPr>
          <w:rStyle w:val="af2"/>
        </w:rPr>
        <w:t>应变滞回曲线</w:t>
      </w:r>
      <w:proofErr w:type="gramEnd"/>
      <w:r>
        <w:rPr>
          <w:rStyle w:val="af2"/>
        </w:rPr>
        <w:t>证明了该模型能够正确反映土体的非线性动力特性。</w:t>
      </w:r>
    </w:p>
    <w:p w14:paraId="0A9AB4CB" w14:textId="77777777" w:rsidR="009911A0" w:rsidRDefault="002B582B">
      <w:pPr>
        <w:pStyle w:val="Normalwrd1"/>
        <w:rPr>
          <w:rStyle w:val="af2"/>
        </w:rPr>
      </w:pPr>
      <w:r>
        <w:rPr>
          <w:rStyle w:val="af2"/>
        </w:rPr>
        <w:t xml:space="preserve">        </w:t>
      </w:r>
      <w:r>
        <w:rPr>
          <w:rStyle w:val="af2"/>
          <w:rFonts w:ascii="宋体" w:eastAsia="宋体" w:hAnsi="宋体"/>
        </w:rPr>
        <w:t>（</w:t>
      </w:r>
      <w:r>
        <w:rPr>
          <w:rStyle w:val="af2"/>
        </w:rPr>
        <w:t>3</w:t>
      </w:r>
      <w:r>
        <w:rPr>
          <w:rStyle w:val="af2"/>
          <w:rFonts w:ascii="宋体" w:eastAsia="宋体" w:hAnsi="宋体"/>
        </w:rPr>
        <w:t>）</w:t>
      </w:r>
      <w:r>
        <w:rPr>
          <w:rStyle w:val="af2"/>
        </w:rPr>
        <w:t>推导了模型各阶段的增量剪切模量表达式，并将应力</w:t>
      </w:r>
      <w:r>
        <w:rPr>
          <w:rStyle w:val="af2"/>
          <w:rFonts w:ascii="宋体" w:eastAsia="宋体" w:hAnsi="宋体"/>
        </w:rPr>
        <w:t>-</w:t>
      </w:r>
      <w:r>
        <w:rPr>
          <w:rStyle w:val="af2"/>
        </w:rPr>
        <w:t>应变关系扩展至三维。基于</w:t>
      </w:r>
      <w:r>
        <w:rPr>
          <w:rStyle w:val="af2"/>
          <w:rFonts w:ascii="方正科技符号" w:eastAsia="方正科技符号" w:hAnsi="方正科技符号"/>
        </w:rPr>
        <w:t>ABAQUS</w:t>
      </w:r>
      <w:r>
        <w:rPr>
          <w:rStyle w:val="af2"/>
        </w:rPr>
        <w:t>二次开发平台</w:t>
      </w:r>
      <w:r>
        <w:rPr>
          <w:rStyle w:val="af2"/>
          <w:rFonts w:ascii="方正科技符号" w:eastAsia="方正科技符号" w:hAnsi="方正科技符号"/>
        </w:rPr>
        <w:t>UMAT</w:t>
      </w:r>
      <w:r>
        <w:rPr>
          <w:rStyle w:val="af2"/>
        </w:rPr>
        <w:t>，编制了</w:t>
      </w:r>
      <w:r>
        <w:rPr>
          <w:rStyle w:val="af2"/>
          <w:rFonts w:ascii="方正科技符号" w:eastAsia="方正科技符号" w:hAnsi="方正科技符号"/>
        </w:rPr>
        <w:t>Logistic</w:t>
      </w:r>
      <w:r>
        <w:rPr>
          <w:rStyle w:val="af2"/>
        </w:rPr>
        <w:t>函数</w:t>
      </w:r>
      <w:proofErr w:type="gramStart"/>
      <w:r>
        <w:rPr>
          <w:rStyle w:val="af2"/>
        </w:rPr>
        <w:t>型本构模型</w:t>
      </w:r>
      <w:proofErr w:type="gramEnd"/>
      <w:r>
        <w:rPr>
          <w:rStyle w:val="af2"/>
        </w:rPr>
        <w:t>计算子程序，并利用复杂加载路径验证了子程序正确，实现了</w:t>
      </w:r>
      <w:r>
        <w:rPr>
          <w:rStyle w:val="af2"/>
          <w:rFonts w:ascii="方正科技符号" w:eastAsia="方正科技符号" w:hAnsi="方正科技符号"/>
        </w:rPr>
        <w:t>ABAQUS</w:t>
      </w:r>
      <w:r>
        <w:rPr>
          <w:rStyle w:val="af2"/>
        </w:rPr>
        <w:t>软件中</w:t>
      </w:r>
      <w:r>
        <w:rPr>
          <w:rStyle w:val="af2"/>
          <w:rFonts w:ascii="方正科技符号" w:eastAsia="方正科技符号" w:hAnsi="方正科技符号"/>
        </w:rPr>
        <w:t>Logistic</w:t>
      </w:r>
      <w:r>
        <w:rPr>
          <w:rStyle w:val="af2"/>
        </w:rPr>
        <w:t>函数型模型的数值应用。</w:t>
      </w:r>
    </w:p>
    <w:p w14:paraId="6C167D86" w14:textId="77777777" w:rsidR="009911A0" w:rsidRDefault="002B582B">
      <w:pPr>
        <w:pStyle w:val="Normalwrd1"/>
        <w:rPr>
          <w:rStyle w:val="af2"/>
        </w:rPr>
      </w:pPr>
      <w:r>
        <w:rPr>
          <w:rStyle w:val="af2"/>
        </w:rPr>
        <w:t xml:space="preserve">        </w:t>
      </w:r>
      <w:r>
        <w:rPr>
          <w:rStyle w:val="af2"/>
          <w:rFonts w:ascii="宋体" w:eastAsia="宋体" w:hAnsi="宋体"/>
        </w:rPr>
        <w:t>（</w:t>
      </w:r>
      <w:r>
        <w:rPr>
          <w:rStyle w:val="af2"/>
        </w:rPr>
        <w:t>4</w:t>
      </w:r>
      <w:r>
        <w:rPr>
          <w:rStyle w:val="af2"/>
          <w:rFonts w:ascii="宋体" w:eastAsia="宋体" w:hAnsi="宋体"/>
        </w:rPr>
        <w:t>）</w:t>
      </w:r>
      <w:r>
        <w:rPr>
          <w:rStyle w:val="af2"/>
        </w:rPr>
        <w:t>以长周期地震波作为输入，对比分析了软土场地</w:t>
      </w:r>
      <w:r>
        <w:rPr>
          <w:rStyle w:val="af2"/>
          <w:rFonts w:ascii="方正科技符号" w:eastAsia="方正科技符号" w:hAnsi="方正科技符号"/>
        </w:rPr>
        <w:t>Logistic</w:t>
      </w:r>
      <w:r>
        <w:rPr>
          <w:rStyle w:val="af2"/>
        </w:rPr>
        <w:t>函数型模型和</w:t>
      </w:r>
      <w:proofErr w:type="spellStart"/>
      <w:r>
        <w:rPr>
          <w:rStyle w:val="af2"/>
          <w:rFonts w:ascii="方正科技符号" w:eastAsia="方正科技符号" w:hAnsi="方正科技符号"/>
        </w:rPr>
        <w:t>Davidenkov</w:t>
      </w:r>
      <w:proofErr w:type="spellEnd"/>
      <w:r>
        <w:rPr>
          <w:rStyle w:val="af2"/>
        </w:rPr>
        <w:t>模型的计算结果。结果表明，软土场地对长周期地震波的放大效应十分明显，</w:t>
      </w:r>
      <w:r>
        <w:rPr>
          <w:rStyle w:val="af2"/>
          <w:rFonts w:ascii="方正科技符号" w:eastAsia="方正科技符号" w:hAnsi="方正科技符号"/>
        </w:rPr>
        <w:t>Logistic</w:t>
      </w:r>
      <w:r>
        <w:rPr>
          <w:rStyle w:val="af2"/>
        </w:rPr>
        <w:t>函数型模型计算得到的加速度响应峰值和相对位移响应峰值小于</w:t>
      </w:r>
      <w:proofErr w:type="spellStart"/>
      <w:r>
        <w:rPr>
          <w:rStyle w:val="af2"/>
          <w:rFonts w:ascii="方正科技符号" w:eastAsia="方正科技符号" w:hAnsi="方正科技符号"/>
        </w:rPr>
        <w:t>Davidenkov</w:t>
      </w:r>
      <w:proofErr w:type="spellEnd"/>
      <w:r>
        <w:rPr>
          <w:rStyle w:val="af2"/>
        </w:rPr>
        <w:t>模型的结果，</w:t>
      </w:r>
      <w:r>
        <w:rPr>
          <w:rStyle w:val="af2"/>
          <w:rFonts w:ascii="方正科技符号" w:eastAsia="方正科技符号" w:hAnsi="方正科技符号"/>
        </w:rPr>
        <w:t>Logistic</w:t>
      </w:r>
      <w:r>
        <w:rPr>
          <w:rStyle w:val="af2"/>
        </w:rPr>
        <w:t>函数型模型计算的土体应力</w:t>
      </w:r>
      <w:r>
        <w:rPr>
          <w:rStyle w:val="af2"/>
          <w:rFonts w:ascii="宋体" w:eastAsia="宋体" w:hAnsi="宋体"/>
        </w:rPr>
        <w:t>-</w:t>
      </w:r>
      <w:proofErr w:type="gramStart"/>
      <w:r>
        <w:rPr>
          <w:rStyle w:val="af2"/>
        </w:rPr>
        <w:t>应变滞回曲线</w:t>
      </w:r>
      <w:proofErr w:type="gramEnd"/>
      <w:r>
        <w:rPr>
          <w:rStyle w:val="af2"/>
        </w:rPr>
        <w:t>更符合实际情况。</w:t>
      </w:r>
    </w:p>
    <w:p w14:paraId="35DA7D35" w14:textId="77777777" w:rsidR="009911A0" w:rsidRPr="00D10B83" w:rsidRDefault="002B582B">
      <w:pPr>
        <w:pStyle w:val="heading1wrd1"/>
        <w:spacing w:before="240" w:after="240"/>
        <w:rPr>
          <w:rStyle w:val="af2"/>
          <w:b/>
        </w:rPr>
      </w:pPr>
      <w:r w:rsidRPr="00D10B83">
        <w:rPr>
          <w:rStyle w:val="af2"/>
          <w:rFonts w:ascii="黑体" w:eastAsia="黑体" w:hAnsi="黑体"/>
          <w:b/>
        </w:rPr>
        <w:lastRenderedPageBreak/>
        <w:t>参考文献:</w:t>
      </w:r>
    </w:p>
    <w:p w14:paraId="3EB653CC" w14:textId="77777777" w:rsidR="00357180" w:rsidRPr="00357180" w:rsidRDefault="00357180" w:rsidP="00357180">
      <w:pPr>
        <w:shd w:val="clear" w:color="auto" w:fill="FFFFFF"/>
        <w:adjustRightInd w:val="0"/>
        <w:snapToGrid w:val="0"/>
        <w:spacing w:line="276" w:lineRule="auto"/>
        <w:ind w:left="630" w:hangingChars="300" w:hanging="630"/>
        <w:rPr>
          <w:rFonts w:ascii="仿宋_GB2312" w:eastAsia="仿宋_GB2312" w:hAnsi="Times New Roman" w:cs="Times New Roman"/>
          <w:color w:val="000000"/>
          <w:sz w:val="21"/>
          <w:szCs w:val="21"/>
        </w:rPr>
      </w:pPr>
      <w:r w:rsidRPr="00357180">
        <w:rPr>
          <w:rFonts w:ascii="仿宋_GB2312" w:eastAsia="仿宋_GB2312" w:hAnsi="Times New Roman" w:cs="Times New Roman" w:hint="eastAsia"/>
          <w:color w:val="000000"/>
          <w:sz w:val="21"/>
          <w:szCs w:val="21"/>
        </w:rPr>
        <w:t>［1］ 陈迎锋，张奎，商学利，等．某场所放射性核素场内扩散规律分析[J]．哈尔滨工程大学学报，2022，43（11）：1572-1578．</w:t>
      </w:r>
    </w:p>
    <w:p w14:paraId="73B98861" w14:textId="77777777" w:rsidR="00357180" w:rsidRPr="00357180" w:rsidRDefault="00357180" w:rsidP="00C7259C">
      <w:pPr>
        <w:shd w:val="clear" w:color="auto" w:fill="FFFFFF"/>
        <w:adjustRightInd w:val="0"/>
        <w:snapToGrid w:val="0"/>
        <w:spacing w:line="276" w:lineRule="auto"/>
        <w:ind w:leftChars="300" w:left="660"/>
        <w:rPr>
          <w:rFonts w:ascii="仿宋_GB2312" w:eastAsia="仿宋_GB2312" w:hAnsi="Times New Roman" w:cs="Times New Roman"/>
          <w:color w:val="000000"/>
          <w:sz w:val="21"/>
          <w:szCs w:val="21"/>
        </w:rPr>
      </w:pPr>
      <w:r w:rsidRPr="00357180">
        <w:rPr>
          <w:rFonts w:ascii="仿宋_GB2312" w:eastAsia="仿宋_GB2312" w:hAnsi="Times New Roman" w:cs="Times New Roman" w:hint="eastAsia"/>
          <w:color w:val="000000"/>
          <w:sz w:val="21"/>
          <w:szCs w:val="21"/>
        </w:rPr>
        <w:t>CHEN Y F， ZHANG K， SHANG X L， et al．An analysis of the radionuclide diffusion rule at a radioactive site[J]． Journal of Harbin Engineering University，2022，43 （11）：1572-1578．</w:t>
      </w:r>
    </w:p>
    <w:p w14:paraId="2FB1F82F" w14:textId="77777777" w:rsidR="00357180" w:rsidRPr="00357180" w:rsidRDefault="00357180" w:rsidP="00357180">
      <w:pPr>
        <w:shd w:val="clear" w:color="auto" w:fill="FFFFFF"/>
        <w:adjustRightInd w:val="0"/>
        <w:snapToGrid w:val="0"/>
        <w:spacing w:line="276" w:lineRule="auto"/>
        <w:ind w:left="630" w:hangingChars="300" w:hanging="630"/>
        <w:rPr>
          <w:rFonts w:ascii="仿宋_GB2312" w:eastAsia="仿宋_GB2312" w:hAnsi="Times New Roman" w:cs="Times New Roman"/>
          <w:color w:val="000000"/>
          <w:sz w:val="21"/>
          <w:szCs w:val="21"/>
        </w:rPr>
      </w:pPr>
      <w:r w:rsidRPr="00357180">
        <w:rPr>
          <w:rFonts w:ascii="仿宋_GB2312" w:eastAsia="仿宋_GB2312" w:hAnsi="Times New Roman" w:cs="Times New Roman" w:hint="eastAsia"/>
          <w:color w:val="000000"/>
          <w:sz w:val="21"/>
          <w:szCs w:val="21"/>
        </w:rPr>
        <w:t>［2］ 袁炜烨．放射性核素内污染所致人员辐射剂量估算模型应用研究[D]．苏州：苏州大学，2020：7-18．</w:t>
      </w:r>
    </w:p>
    <w:p w14:paraId="598B0228" w14:textId="77777777" w:rsidR="00357180" w:rsidRPr="00357180" w:rsidRDefault="00357180" w:rsidP="00C7259C">
      <w:pPr>
        <w:shd w:val="clear" w:color="auto" w:fill="FFFFFF"/>
        <w:adjustRightInd w:val="0"/>
        <w:snapToGrid w:val="0"/>
        <w:spacing w:line="276" w:lineRule="auto"/>
        <w:ind w:leftChars="300" w:left="660"/>
        <w:rPr>
          <w:rFonts w:ascii="仿宋_GB2312" w:eastAsia="仿宋_GB2312" w:hAnsi="Times New Roman" w:cs="Times New Roman"/>
          <w:color w:val="000000"/>
          <w:sz w:val="21"/>
          <w:szCs w:val="21"/>
        </w:rPr>
      </w:pPr>
      <w:r w:rsidRPr="00357180">
        <w:rPr>
          <w:rFonts w:ascii="仿宋_GB2312" w:eastAsia="仿宋_GB2312" w:hAnsi="Times New Roman" w:cs="Times New Roman" w:hint="eastAsia"/>
          <w:color w:val="000000"/>
          <w:sz w:val="21"/>
          <w:szCs w:val="21"/>
        </w:rPr>
        <w:t>YUAN W Y． Application research on the model of radiation dose calculation caused by radionuclide internal pollution[D]．Suzhou：Soochow University，2020：7-18．</w:t>
      </w:r>
    </w:p>
    <w:p w14:paraId="44DEA5A0" w14:textId="77777777" w:rsidR="00357180" w:rsidRPr="00357180" w:rsidRDefault="00357180" w:rsidP="00357180">
      <w:pPr>
        <w:shd w:val="clear" w:color="auto" w:fill="FFFFFF"/>
        <w:adjustRightInd w:val="0"/>
        <w:snapToGrid w:val="0"/>
        <w:spacing w:line="276" w:lineRule="auto"/>
        <w:ind w:left="630" w:hangingChars="300" w:hanging="630"/>
        <w:rPr>
          <w:rFonts w:ascii="仿宋_GB2312" w:eastAsia="仿宋_GB2312" w:hAnsi="Times New Roman" w:cs="Times New Roman"/>
          <w:color w:val="000000"/>
          <w:sz w:val="21"/>
          <w:szCs w:val="21"/>
        </w:rPr>
      </w:pPr>
      <w:r w:rsidRPr="00357180">
        <w:rPr>
          <w:rFonts w:ascii="仿宋_GB2312" w:eastAsia="仿宋_GB2312" w:hAnsi="Times New Roman" w:cs="Times New Roman" w:hint="eastAsia"/>
          <w:color w:val="000000"/>
          <w:sz w:val="21"/>
          <w:szCs w:val="21"/>
        </w:rPr>
        <w:t xml:space="preserve">［3］ DINUNNO J </w:t>
      </w:r>
      <w:proofErr w:type="spellStart"/>
      <w:r w:rsidRPr="00357180">
        <w:rPr>
          <w:rFonts w:ascii="仿宋_GB2312" w:eastAsia="仿宋_GB2312" w:hAnsi="Times New Roman" w:cs="Times New Roman" w:hint="eastAsia"/>
          <w:color w:val="000000"/>
          <w:sz w:val="21"/>
          <w:szCs w:val="21"/>
        </w:rPr>
        <w:t>J</w:t>
      </w:r>
      <w:proofErr w:type="spellEnd"/>
      <w:r w:rsidRPr="00357180">
        <w:rPr>
          <w:rFonts w:ascii="仿宋_GB2312" w:eastAsia="仿宋_GB2312" w:hAnsi="Times New Roman" w:cs="Times New Roman" w:hint="eastAsia"/>
          <w:color w:val="000000"/>
          <w:sz w:val="21"/>
          <w:szCs w:val="21"/>
        </w:rPr>
        <w:t>， ANDERSON F D， BAKER R E，et al．Calculation of distance factors for power and test reactor sites：TID-14844[R]．Washington D. C.， USA： U.S． Atomic Energy Commission．1962：1-5．</w:t>
      </w:r>
    </w:p>
    <w:p w14:paraId="2C84D6F3" w14:textId="77777777" w:rsidR="00357180" w:rsidRPr="00357180" w:rsidRDefault="00357180" w:rsidP="00357180">
      <w:pPr>
        <w:shd w:val="clear" w:color="auto" w:fill="FFFFFF"/>
        <w:adjustRightInd w:val="0"/>
        <w:snapToGrid w:val="0"/>
        <w:spacing w:line="276" w:lineRule="auto"/>
        <w:ind w:left="630" w:hangingChars="300" w:hanging="630"/>
        <w:rPr>
          <w:rFonts w:ascii="仿宋_GB2312" w:eastAsia="仿宋_GB2312" w:hAnsi="Times New Roman" w:cs="Times New Roman"/>
          <w:color w:val="000000"/>
          <w:sz w:val="21"/>
          <w:szCs w:val="21"/>
        </w:rPr>
      </w:pPr>
      <w:r w:rsidRPr="00357180">
        <w:rPr>
          <w:rFonts w:ascii="仿宋_GB2312" w:eastAsia="仿宋_GB2312" w:hAnsi="Times New Roman" w:cs="Times New Roman" w:hint="eastAsia"/>
          <w:color w:val="000000"/>
          <w:sz w:val="21"/>
          <w:szCs w:val="21"/>
        </w:rPr>
        <w:t xml:space="preserve">［4］ GARBOW B S，BOYLE J M，DONGARRA J </w:t>
      </w:r>
      <w:proofErr w:type="spellStart"/>
      <w:r w:rsidRPr="00357180">
        <w:rPr>
          <w:rFonts w:ascii="仿宋_GB2312" w:eastAsia="仿宋_GB2312" w:hAnsi="Times New Roman" w:cs="Times New Roman" w:hint="eastAsia"/>
          <w:color w:val="000000"/>
          <w:sz w:val="21"/>
          <w:szCs w:val="21"/>
        </w:rPr>
        <w:t>J</w:t>
      </w:r>
      <w:proofErr w:type="spellEnd"/>
      <w:r w:rsidRPr="00357180">
        <w:rPr>
          <w:rFonts w:ascii="仿宋_GB2312" w:eastAsia="仿宋_GB2312" w:hAnsi="Times New Roman" w:cs="Times New Roman" w:hint="eastAsia"/>
          <w:color w:val="000000"/>
          <w:sz w:val="21"/>
          <w:szCs w:val="21"/>
        </w:rPr>
        <w:t>，et al． Matrix eigen system routines-EISPACK guide extension[M]． Berlin， Heidelberg： Springer Verlag，1977．</w:t>
      </w:r>
    </w:p>
    <w:p w14:paraId="7F36EA5C" w14:textId="77777777" w:rsidR="00357180" w:rsidRPr="00357180" w:rsidRDefault="00357180" w:rsidP="00357180">
      <w:pPr>
        <w:shd w:val="clear" w:color="auto" w:fill="FFFFFF"/>
        <w:adjustRightInd w:val="0"/>
        <w:snapToGrid w:val="0"/>
        <w:spacing w:line="276" w:lineRule="auto"/>
        <w:ind w:left="630" w:hangingChars="300" w:hanging="630"/>
        <w:rPr>
          <w:rFonts w:ascii="仿宋_GB2312" w:eastAsia="仿宋_GB2312" w:hAnsi="Times New Roman" w:cs="Times New Roman"/>
          <w:color w:val="000000"/>
          <w:sz w:val="21"/>
          <w:szCs w:val="21"/>
        </w:rPr>
      </w:pPr>
      <w:r w:rsidRPr="00357180">
        <w:rPr>
          <w:rFonts w:ascii="仿宋_GB2312" w:eastAsia="仿宋_GB2312" w:hAnsi="Times New Roman" w:cs="Times New Roman" w:hint="eastAsia"/>
          <w:color w:val="000000"/>
          <w:sz w:val="21"/>
          <w:szCs w:val="21"/>
        </w:rPr>
        <w:t>［5］ 环境保护部，国家质量监督检验检疫总局．核动力</w:t>
      </w:r>
      <w:proofErr w:type="gramStart"/>
      <w:r w:rsidRPr="00357180">
        <w:rPr>
          <w:rFonts w:ascii="仿宋_GB2312" w:eastAsia="仿宋_GB2312" w:hAnsi="Times New Roman" w:cs="Times New Roman" w:hint="eastAsia"/>
          <w:color w:val="000000"/>
          <w:sz w:val="21"/>
          <w:szCs w:val="21"/>
        </w:rPr>
        <w:t>厂环境</w:t>
      </w:r>
      <w:proofErr w:type="gramEnd"/>
      <w:r w:rsidRPr="00357180">
        <w:rPr>
          <w:rFonts w:ascii="仿宋_GB2312" w:eastAsia="仿宋_GB2312" w:hAnsi="Times New Roman" w:cs="Times New Roman" w:hint="eastAsia"/>
          <w:color w:val="000000"/>
          <w:sz w:val="21"/>
          <w:szCs w:val="21"/>
        </w:rPr>
        <w:t>辐射防护规定：GB 6249—2011[S]．北京 ：中国标准出版社，2011．</w:t>
      </w:r>
    </w:p>
    <w:p w14:paraId="78C9D390" w14:textId="77777777" w:rsidR="00357180" w:rsidRPr="00357180" w:rsidRDefault="00357180" w:rsidP="00C7259C">
      <w:pPr>
        <w:shd w:val="clear" w:color="auto" w:fill="FFFFFF"/>
        <w:adjustRightInd w:val="0"/>
        <w:snapToGrid w:val="0"/>
        <w:spacing w:line="276" w:lineRule="auto"/>
        <w:ind w:leftChars="300" w:left="660"/>
        <w:rPr>
          <w:rFonts w:ascii="仿宋_GB2312" w:eastAsia="仿宋_GB2312" w:hAnsi="Times New Roman" w:cs="Times New Roman"/>
          <w:color w:val="000000"/>
          <w:sz w:val="21"/>
          <w:szCs w:val="21"/>
        </w:rPr>
      </w:pPr>
      <w:r w:rsidRPr="00357180">
        <w:rPr>
          <w:rFonts w:ascii="仿宋_GB2312" w:eastAsia="仿宋_GB2312" w:hAnsi="Times New Roman" w:cs="Times New Roman" w:hint="eastAsia"/>
          <w:color w:val="000000"/>
          <w:sz w:val="21"/>
          <w:szCs w:val="21"/>
        </w:rPr>
        <w:t>Ministry of Environment Protection， General Administration for Quality Supervision Inspection and Quarantine of RPC． Regulations for environmental radiation protection of nuclear power plant：GB 6249—2011[S]．Beijing：Standards Press of China，2011．</w:t>
      </w:r>
    </w:p>
    <w:p w14:paraId="71C63D29" w14:textId="77777777" w:rsidR="00357180" w:rsidRPr="00357180" w:rsidRDefault="00357180" w:rsidP="00357180">
      <w:pPr>
        <w:shd w:val="clear" w:color="auto" w:fill="FFFFFF"/>
        <w:adjustRightInd w:val="0"/>
        <w:snapToGrid w:val="0"/>
        <w:spacing w:line="276" w:lineRule="auto"/>
        <w:ind w:left="630" w:hangingChars="300" w:hanging="630"/>
        <w:rPr>
          <w:rFonts w:ascii="仿宋_GB2312" w:eastAsia="仿宋_GB2312" w:hAnsi="Times New Roman" w:cs="Times New Roman"/>
          <w:color w:val="000000"/>
          <w:sz w:val="21"/>
          <w:szCs w:val="21"/>
        </w:rPr>
      </w:pPr>
      <w:r w:rsidRPr="00357180">
        <w:rPr>
          <w:rFonts w:ascii="仿宋_GB2312" w:eastAsia="仿宋_GB2312" w:hAnsi="Times New Roman" w:cs="Times New Roman" w:hint="eastAsia"/>
          <w:color w:val="000000"/>
          <w:sz w:val="21"/>
          <w:szCs w:val="21"/>
        </w:rPr>
        <w:t>［6］ BROWN B，KRISPIN J，POTTS M．Projection methods for incompressible multiphase cloud rise phenomena[C] // Proceedings of the 14th Computational Fluid Dynamics Conference． Norfolk， VA，USA：AIAA，1999：605-614．</w:t>
      </w:r>
    </w:p>
    <w:p w14:paraId="5D2545DA" w14:textId="77777777" w:rsidR="00357180" w:rsidRPr="00357180" w:rsidRDefault="00357180" w:rsidP="00357180">
      <w:pPr>
        <w:shd w:val="clear" w:color="auto" w:fill="FFFFFF"/>
        <w:adjustRightInd w:val="0"/>
        <w:snapToGrid w:val="0"/>
        <w:spacing w:line="276" w:lineRule="auto"/>
        <w:ind w:left="630" w:hangingChars="300" w:hanging="630"/>
        <w:jc w:val="distribute"/>
        <w:rPr>
          <w:rFonts w:ascii="仿宋_GB2312" w:eastAsia="仿宋_GB2312" w:hAnsi="Times New Roman" w:cs="Times New Roman"/>
          <w:color w:val="000000"/>
          <w:sz w:val="21"/>
          <w:szCs w:val="21"/>
        </w:rPr>
      </w:pPr>
      <w:r w:rsidRPr="00357180">
        <w:rPr>
          <w:rFonts w:ascii="仿宋_GB2312" w:eastAsia="仿宋_GB2312" w:hAnsi="Times New Roman" w:cs="Times New Roman" w:hint="eastAsia"/>
          <w:color w:val="000000"/>
          <w:sz w:val="21"/>
          <w:szCs w:val="21"/>
        </w:rPr>
        <w:t>［7］ 刘路，宗周红，周海飞，等．近场爆炸作用下节段预制拼装RC桥墩的易损性评估[J/OL] . 中国公路学报：1-18（2023-11-29）[2023-12-22]．https： // link.cnki.net/</w:t>
      </w:r>
      <w:proofErr w:type="spellStart"/>
      <w:r w:rsidRPr="00357180">
        <w:rPr>
          <w:rFonts w:ascii="仿宋_GB2312" w:eastAsia="仿宋_GB2312" w:hAnsi="Times New Roman" w:cs="Times New Roman" w:hint="eastAsia"/>
          <w:color w:val="000000"/>
          <w:sz w:val="21"/>
          <w:szCs w:val="21"/>
        </w:rPr>
        <w:t>urlid</w:t>
      </w:r>
      <w:proofErr w:type="spellEnd"/>
      <w:r w:rsidRPr="00357180">
        <w:rPr>
          <w:rFonts w:ascii="仿宋_GB2312" w:eastAsia="仿宋_GB2312" w:hAnsi="Times New Roman" w:cs="Times New Roman" w:hint="eastAsia"/>
          <w:color w:val="000000"/>
          <w:sz w:val="21"/>
          <w:szCs w:val="21"/>
        </w:rPr>
        <w:t>/61.1313.</w:t>
      </w:r>
    </w:p>
    <w:p w14:paraId="79F5B50D" w14:textId="77777777" w:rsidR="00357180" w:rsidRPr="00357180" w:rsidRDefault="00357180" w:rsidP="00C7259C">
      <w:pPr>
        <w:shd w:val="clear" w:color="auto" w:fill="FFFFFF"/>
        <w:adjustRightInd w:val="0"/>
        <w:snapToGrid w:val="0"/>
        <w:spacing w:line="276" w:lineRule="auto"/>
        <w:ind w:leftChars="300" w:left="1290" w:hangingChars="300" w:hanging="630"/>
        <w:rPr>
          <w:rFonts w:ascii="仿宋_GB2312" w:eastAsia="仿宋_GB2312" w:hAnsi="Times New Roman" w:cs="Times New Roman"/>
          <w:color w:val="000000"/>
          <w:sz w:val="21"/>
          <w:szCs w:val="21"/>
        </w:rPr>
      </w:pPr>
      <w:r w:rsidRPr="00357180">
        <w:rPr>
          <w:rFonts w:ascii="仿宋_GB2312" w:eastAsia="仿宋_GB2312" w:hAnsi="Times New Roman" w:cs="Times New Roman" w:hint="eastAsia"/>
          <w:color w:val="000000"/>
          <w:sz w:val="21"/>
          <w:szCs w:val="21"/>
        </w:rPr>
        <w:t>U.20231129.1810.002．</w:t>
      </w:r>
    </w:p>
    <w:p w14:paraId="622FB366" w14:textId="77777777" w:rsidR="00357180" w:rsidRPr="00357180" w:rsidRDefault="00357180" w:rsidP="00C7259C">
      <w:pPr>
        <w:shd w:val="clear" w:color="auto" w:fill="FFFFFF"/>
        <w:adjustRightInd w:val="0"/>
        <w:snapToGrid w:val="0"/>
        <w:spacing w:line="276" w:lineRule="auto"/>
        <w:ind w:leftChars="300" w:left="660"/>
        <w:rPr>
          <w:rFonts w:ascii="仿宋_GB2312" w:eastAsia="仿宋_GB2312" w:hAnsi="Times New Roman" w:cs="Times New Roman"/>
          <w:color w:val="000000"/>
          <w:sz w:val="21"/>
          <w:szCs w:val="21"/>
        </w:rPr>
      </w:pPr>
      <w:r w:rsidRPr="00357180">
        <w:rPr>
          <w:rFonts w:ascii="仿宋_GB2312" w:eastAsia="仿宋_GB2312" w:hAnsi="Times New Roman" w:cs="Times New Roman" w:hint="eastAsia"/>
          <w:color w:val="000000"/>
          <w:sz w:val="21"/>
          <w:szCs w:val="21"/>
        </w:rPr>
        <w:t xml:space="preserve">LIU L， ZONG Z H， ZHOU H F， et al． Vulnerability assessment on precast segmental RC bridge pier under near-field explosion[J/OL]．China Journal of Highway and Transport：1-18． （2013-11-29）[2023-10-12]． https： // link. </w:t>
      </w:r>
      <w:proofErr w:type="spellStart"/>
      <w:r w:rsidRPr="00357180">
        <w:rPr>
          <w:rFonts w:ascii="仿宋_GB2312" w:eastAsia="仿宋_GB2312" w:hAnsi="Times New Roman" w:cs="Times New Roman" w:hint="eastAsia"/>
          <w:color w:val="000000"/>
          <w:sz w:val="21"/>
          <w:szCs w:val="21"/>
        </w:rPr>
        <w:t>cnki</w:t>
      </w:r>
      <w:proofErr w:type="spellEnd"/>
      <w:r w:rsidRPr="00357180">
        <w:rPr>
          <w:rFonts w:ascii="仿宋_GB2312" w:eastAsia="仿宋_GB2312" w:hAnsi="Times New Roman" w:cs="Times New Roman" w:hint="eastAsia"/>
          <w:color w:val="000000"/>
          <w:sz w:val="21"/>
          <w:szCs w:val="21"/>
        </w:rPr>
        <w:t xml:space="preserve">. net / </w:t>
      </w:r>
      <w:proofErr w:type="spellStart"/>
      <w:r w:rsidRPr="00357180">
        <w:rPr>
          <w:rFonts w:ascii="仿宋_GB2312" w:eastAsia="仿宋_GB2312" w:hAnsi="Times New Roman" w:cs="Times New Roman" w:hint="eastAsia"/>
          <w:color w:val="000000"/>
          <w:sz w:val="21"/>
          <w:szCs w:val="21"/>
        </w:rPr>
        <w:t>urlid</w:t>
      </w:r>
      <w:proofErr w:type="spellEnd"/>
      <w:r w:rsidRPr="00357180">
        <w:rPr>
          <w:rFonts w:ascii="仿宋_GB2312" w:eastAsia="仿宋_GB2312" w:hAnsi="Times New Roman" w:cs="Times New Roman" w:hint="eastAsia"/>
          <w:color w:val="000000"/>
          <w:sz w:val="21"/>
          <w:szCs w:val="21"/>
        </w:rPr>
        <w:t xml:space="preserve"> /61.1313.U.20231129.1810.002．</w:t>
      </w:r>
    </w:p>
    <w:p w14:paraId="7549582C" w14:textId="7A08697A" w:rsidR="009911A0" w:rsidRPr="00357180" w:rsidRDefault="009911A0" w:rsidP="00357180">
      <w:pPr>
        <w:shd w:val="clear" w:color="auto" w:fill="FFFFFF"/>
        <w:adjustRightInd w:val="0"/>
        <w:snapToGrid w:val="0"/>
        <w:spacing w:line="276" w:lineRule="auto"/>
        <w:ind w:left="630" w:hangingChars="300" w:hanging="630"/>
        <w:rPr>
          <w:rStyle w:val="af2"/>
          <w:rFonts w:ascii="方正书宋_GBK" w:hAnsi="方正书宋_GBK"/>
        </w:rPr>
      </w:pPr>
    </w:p>
    <w:sectPr w:rsidR="009911A0" w:rsidRPr="00357180" w:rsidSect="00FC4A8C">
      <w:pgSz w:w="11907" w:h="16839"/>
      <w:pgMar w:top="1587" w:right="1167" w:bottom="1482" w:left="11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1602B" w14:textId="77777777" w:rsidR="00FC4A8C" w:rsidRDefault="00FC4A8C" w:rsidP="006C537E">
      <w:r>
        <w:separator/>
      </w:r>
    </w:p>
  </w:endnote>
  <w:endnote w:type="continuationSeparator" w:id="0">
    <w:p w14:paraId="196E8EA9" w14:textId="77777777" w:rsidR="00FC4A8C" w:rsidRDefault="00FC4A8C" w:rsidP="006C5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NEU-BZ">
    <w:altName w:val="宋体"/>
    <w:charset w:val="86"/>
    <w:family w:val="roman"/>
    <w:pitch w:val="variable"/>
    <w:sig w:usb0="E00002FF" w:usb1="59CFECFE" w:usb2="05000016" w:usb3="00000000" w:csb0="003E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书宋_GBK">
    <w:altName w:val="微软雅黑"/>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科技符号">
    <w:altName w:val="微软雅黑"/>
    <w:charset w:val="86"/>
    <w:family w:val="auto"/>
    <w:pitch w:val="variable"/>
    <w:sig w:usb0="10002003" w:usb1="AB1E0800" w:usb2="000A005E" w:usb3="00000000" w:csb0="003C0041" w:csb1="00000000"/>
  </w:font>
  <w:font w:name="方正仿宋_GBK">
    <w:altName w:val="微软雅黑"/>
    <w:charset w:val="86"/>
    <w:family w:val="auto"/>
    <w:pitch w:val="variable"/>
    <w:sig w:usb0="00000001" w:usb1="080E0000" w:usb2="00000010" w:usb3="00000000" w:csb0="00040000" w:csb1="00000000"/>
  </w:font>
  <w:font w:name="NEU-HZ">
    <w:altName w:val="宋体"/>
    <w:charset w:val="86"/>
    <w:family w:val="roman"/>
    <w:pitch w:val="variable"/>
    <w:sig w:usb0="E00002FF" w:usb1="48CF84DA" w:usb2="04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6839D" w14:textId="77777777" w:rsidR="00FC4A8C" w:rsidRDefault="00FC4A8C">
      <w:r>
        <w:separator/>
      </w:r>
    </w:p>
  </w:footnote>
  <w:footnote w:type="continuationSeparator" w:id="0">
    <w:p w14:paraId="147D942A" w14:textId="77777777" w:rsidR="00FC4A8C" w:rsidRDefault="00FC4A8C">
      <w:r>
        <w:continuationSeparator/>
      </w:r>
    </w:p>
  </w:footnote>
  <w:footnote w:id="1">
    <w:p w14:paraId="4D73D0F4" w14:textId="77777777" w:rsidR="00A3150B" w:rsidRDefault="00A3150B">
      <w:pPr>
        <w:pStyle w:val="af1"/>
        <w:rPr>
          <w:sz w:val="15"/>
          <w:szCs w:val="15"/>
        </w:rPr>
      </w:pPr>
      <w:r>
        <w:rPr>
          <w:rFonts w:ascii="黑体" w:eastAsia="黑体" w:hAnsi="黑体"/>
          <w:b/>
          <w:sz w:val="15"/>
          <w:szCs w:val="15"/>
        </w:rPr>
        <w:t>基金项目</w:t>
      </w:r>
      <w:r>
        <w:rPr>
          <w:sz w:val="14"/>
          <w:szCs w:val="14"/>
        </w:rPr>
        <w:t>：</w:t>
      </w:r>
      <w:r>
        <w:rPr>
          <w:sz w:val="16"/>
          <w:szCs w:val="16"/>
        </w:rPr>
        <w:t>国家自然科学基金</w:t>
      </w:r>
      <w:r>
        <w:rPr>
          <w:rFonts w:ascii="宋体" w:eastAsia="宋体" w:hAnsi="宋体"/>
          <w:sz w:val="16"/>
          <w:szCs w:val="16"/>
        </w:rPr>
        <w:t>（52108387）</w:t>
      </w:r>
      <w:r>
        <w:rPr>
          <w:sz w:val="16"/>
          <w:szCs w:val="16"/>
        </w:rPr>
        <w:t>；中国博士后面上基金</w:t>
      </w:r>
      <w:r>
        <w:rPr>
          <w:rFonts w:ascii="宋体" w:eastAsia="宋体" w:hAnsi="宋体"/>
          <w:sz w:val="16"/>
          <w:szCs w:val="16"/>
        </w:rPr>
        <w:t>（2022</w:t>
      </w:r>
      <w:r>
        <w:rPr>
          <w:rFonts w:ascii="方正科技符号" w:eastAsia="方正科技符号" w:hAnsi="方正科技符号"/>
          <w:sz w:val="16"/>
          <w:szCs w:val="16"/>
        </w:rPr>
        <w:t>M</w:t>
      </w:r>
      <w:r>
        <w:rPr>
          <w:rFonts w:ascii="宋体" w:eastAsia="宋体" w:hAnsi="宋体"/>
          <w:sz w:val="16"/>
          <w:szCs w:val="16"/>
        </w:rPr>
        <w:t>713850）</w:t>
      </w:r>
      <w:r>
        <w:rPr>
          <w:sz w:val="16"/>
          <w:szCs w:val="16"/>
        </w:rPr>
        <w:t>；陕西省自然科学基金</w:t>
      </w:r>
      <w:r>
        <w:rPr>
          <w:rFonts w:ascii="宋体" w:eastAsia="宋体" w:hAnsi="宋体"/>
          <w:sz w:val="16"/>
          <w:szCs w:val="16"/>
        </w:rPr>
        <w:t>（2022</w:t>
      </w:r>
      <w:r>
        <w:rPr>
          <w:rFonts w:ascii="方正科技符号" w:eastAsia="方正科技符号" w:hAnsi="方正科技符号"/>
          <w:sz w:val="16"/>
          <w:szCs w:val="16"/>
        </w:rPr>
        <w:t>JQ</w:t>
      </w:r>
      <w:r>
        <w:rPr>
          <w:rFonts w:ascii="宋体" w:eastAsia="宋体" w:hAnsi="宋体"/>
          <w:sz w:val="16"/>
          <w:szCs w:val="16"/>
        </w:rPr>
        <w:t>447）</w:t>
      </w:r>
    </w:p>
    <w:p w14:paraId="6F23F23C" w14:textId="77777777" w:rsidR="00A3150B" w:rsidRDefault="00A3150B">
      <w:pPr>
        <w:pStyle w:val="af1"/>
        <w:rPr>
          <w:sz w:val="16"/>
          <w:szCs w:val="16"/>
        </w:rPr>
      </w:pPr>
      <w:r>
        <w:rPr>
          <w:rFonts w:ascii="黑体" w:eastAsia="黑体" w:hAnsi="黑体"/>
          <w:b/>
          <w:sz w:val="15"/>
          <w:szCs w:val="15"/>
        </w:rPr>
        <w:t>第一作者简介</w:t>
      </w:r>
      <w:r>
        <w:rPr>
          <w:sz w:val="14"/>
          <w:szCs w:val="14"/>
        </w:rPr>
        <w:t>：</w:t>
      </w:r>
      <w:r w:rsidR="008F5CFF" w:rsidRPr="00120C83">
        <w:rPr>
          <w:rFonts w:eastAsia="楷体" w:hint="eastAsia"/>
          <w:sz w:val="16"/>
          <w:szCs w:val="16"/>
        </w:rPr>
        <w:t>×××</w:t>
      </w:r>
      <w:r>
        <w:rPr>
          <w:rFonts w:ascii="宋体" w:eastAsia="宋体" w:hAnsi="宋体"/>
          <w:sz w:val="16"/>
          <w:szCs w:val="16"/>
        </w:rPr>
        <w:t>（1991—）</w:t>
      </w:r>
      <w:r>
        <w:rPr>
          <w:sz w:val="16"/>
          <w:szCs w:val="16"/>
        </w:rPr>
        <w:t>，男，讲师，博士，主要从事</w:t>
      </w:r>
      <w:r w:rsidR="008F5CFF" w:rsidRPr="00120C83">
        <w:rPr>
          <w:rFonts w:eastAsia="楷体" w:hint="eastAsia"/>
          <w:sz w:val="16"/>
          <w:szCs w:val="16"/>
        </w:rPr>
        <w:t>×××</w:t>
      </w:r>
      <w:r>
        <w:rPr>
          <w:sz w:val="16"/>
          <w:szCs w:val="16"/>
        </w:rPr>
        <w:t>研究</w:t>
      </w:r>
      <w:r w:rsidR="00491437">
        <w:rPr>
          <w:rFonts w:hint="eastAsia"/>
          <w:sz w:val="16"/>
          <w:szCs w:val="16"/>
        </w:rPr>
        <w:t>，</w:t>
      </w:r>
      <w:r w:rsidR="00491437">
        <w:rPr>
          <w:rFonts w:hint="eastAsia"/>
          <w:sz w:val="16"/>
          <w:szCs w:val="16"/>
        </w:rPr>
        <w:t>Email:</w:t>
      </w:r>
      <w:r w:rsidR="00A74AAF" w:rsidRPr="00A74AAF">
        <w:rPr>
          <w:rFonts w:hint="eastAsia"/>
          <w:sz w:val="16"/>
          <w:szCs w:val="16"/>
        </w:rPr>
        <w:t xml:space="preserve"> </w:t>
      </w:r>
      <w:r w:rsidR="00A74AAF">
        <w:rPr>
          <w:rFonts w:hint="eastAsia"/>
          <w:sz w:val="16"/>
          <w:szCs w:val="16"/>
        </w:rPr>
        <w: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8652B" w14:textId="77777777" w:rsidR="00182B31" w:rsidRPr="00182B31" w:rsidRDefault="00182B31" w:rsidP="00182B31">
    <w:pPr>
      <w:pStyle w:val="a4"/>
      <w:pBdr>
        <w:bottom w:val="single" w:sz="4" w:space="1" w:color="auto"/>
      </w:pBdr>
      <w:adjustRightInd w:val="0"/>
      <w:spacing w:beforeLines="200" w:before="480"/>
      <w:jc w:val="center"/>
      <w:rPr>
        <w:rFonts w:ascii="宋体" w:eastAsia="宋体" w:hAnsi="宋体"/>
        <w:sz w:val="18"/>
      </w:rPr>
    </w:pPr>
    <w:r w:rsidRPr="00182B31">
      <w:rPr>
        <w:rFonts w:ascii="宋体" w:eastAsia="宋体" w:hAnsi="宋体" w:hint="eastAsia"/>
        <w:sz w:val="18"/>
      </w:rPr>
      <w:t>火箭军工程大学学报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67575275">
    <w:abstractNumId w:val="3"/>
  </w:num>
  <w:num w:numId="2" w16cid:durableId="1022170172">
    <w:abstractNumId w:val="0"/>
  </w:num>
  <w:num w:numId="3" w16cid:durableId="2067753221">
    <w:abstractNumId w:val="2"/>
  </w:num>
  <w:num w:numId="4" w16cid:durableId="599341537">
    <w:abstractNumId w:val="4"/>
  </w:num>
  <w:num w:numId="5" w16cid:durableId="1541356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7C3"/>
    <w:rsid w:val="000120E3"/>
    <w:rsid w:val="00043C97"/>
    <w:rsid w:val="00051636"/>
    <w:rsid w:val="0006373F"/>
    <w:rsid w:val="00075369"/>
    <w:rsid w:val="000B623B"/>
    <w:rsid w:val="000D028E"/>
    <w:rsid w:val="000F7B54"/>
    <w:rsid w:val="001302C8"/>
    <w:rsid w:val="0013235C"/>
    <w:rsid w:val="00152ED9"/>
    <w:rsid w:val="00174D5A"/>
    <w:rsid w:val="00182B31"/>
    <w:rsid w:val="001C5ADF"/>
    <w:rsid w:val="001E6ABC"/>
    <w:rsid w:val="002068E6"/>
    <w:rsid w:val="002344C4"/>
    <w:rsid w:val="00245684"/>
    <w:rsid w:val="0028044E"/>
    <w:rsid w:val="00292EDB"/>
    <w:rsid w:val="002B582B"/>
    <w:rsid w:val="00326389"/>
    <w:rsid w:val="00327CDE"/>
    <w:rsid w:val="00357180"/>
    <w:rsid w:val="00391EE7"/>
    <w:rsid w:val="003B1CD3"/>
    <w:rsid w:val="00405CA5"/>
    <w:rsid w:val="00451408"/>
    <w:rsid w:val="00486645"/>
    <w:rsid w:val="00491437"/>
    <w:rsid w:val="0049669A"/>
    <w:rsid w:val="004A2F49"/>
    <w:rsid w:val="004A3019"/>
    <w:rsid w:val="0050586C"/>
    <w:rsid w:val="00506890"/>
    <w:rsid w:val="00510EA2"/>
    <w:rsid w:val="005156A7"/>
    <w:rsid w:val="005243A2"/>
    <w:rsid w:val="00535272"/>
    <w:rsid w:val="005518C6"/>
    <w:rsid w:val="005B0CFB"/>
    <w:rsid w:val="005F127C"/>
    <w:rsid w:val="00601B2E"/>
    <w:rsid w:val="006025B3"/>
    <w:rsid w:val="006C537E"/>
    <w:rsid w:val="006E28A5"/>
    <w:rsid w:val="00720332"/>
    <w:rsid w:val="0081363D"/>
    <w:rsid w:val="00843D10"/>
    <w:rsid w:val="00850D90"/>
    <w:rsid w:val="008B3DDC"/>
    <w:rsid w:val="008F1F41"/>
    <w:rsid w:val="008F5CFF"/>
    <w:rsid w:val="009217BC"/>
    <w:rsid w:val="00960619"/>
    <w:rsid w:val="00971BFB"/>
    <w:rsid w:val="009911A0"/>
    <w:rsid w:val="009D7281"/>
    <w:rsid w:val="009F4C47"/>
    <w:rsid w:val="00A3150B"/>
    <w:rsid w:val="00A33F40"/>
    <w:rsid w:val="00A74AAF"/>
    <w:rsid w:val="00A91740"/>
    <w:rsid w:val="00AB315B"/>
    <w:rsid w:val="00B308B8"/>
    <w:rsid w:val="00B82B68"/>
    <w:rsid w:val="00BA1E36"/>
    <w:rsid w:val="00BB5339"/>
    <w:rsid w:val="00BC140E"/>
    <w:rsid w:val="00BF17CB"/>
    <w:rsid w:val="00C300D9"/>
    <w:rsid w:val="00C47140"/>
    <w:rsid w:val="00C6302E"/>
    <w:rsid w:val="00C7259C"/>
    <w:rsid w:val="00C82289"/>
    <w:rsid w:val="00CB1D13"/>
    <w:rsid w:val="00D01BC0"/>
    <w:rsid w:val="00D10B83"/>
    <w:rsid w:val="00D30535"/>
    <w:rsid w:val="00D3685C"/>
    <w:rsid w:val="00D45323"/>
    <w:rsid w:val="00D81827"/>
    <w:rsid w:val="00D84398"/>
    <w:rsid w:val="00D940E1"/>
    <w:rsid w:val="00DC3581"/>
    <w:rsid w:val="00E05032"/>
    <w:rsid w:val="00E336E3"/>
    <w:rsid w:val="00E5427A"/>
    <w:rsid w:val="00E629AC"/>
    <w:rsid w:val="00E93DC0"/>
    <w:rsid w:val="00EB4538"/>
    <w:rsid w:val="00F043AD"/>
    <w:rsid w:val="00F2499B"/>
    <w:rsid w:val="00F81A0E"/>
    <w:rsid w:val="00FA0078"/>
    <w:rsid w:val="00FA57C3"/>
    <w:rsid w:val="00FC4922"/>
    <w:rsid w:val="00FC4A8C"/>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7C1B2"/>
  <w15:docId w15:val="{C0E0C8FC-B692-4E81-9CC4-9DEA86A52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NEU-BZ" w:cstheme="minorBidi"/>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69A"/>
  </w:style>
  <w:style w:type="paragraph" w:styleId="1">
    <w:name w:val="heading 1"/>
    <w:basedOn w:val="a"/>
    <w:next w:val="a"/>
    <w:link w:val="10"/>
    <w:uiPriority w:val="9"/>
    <w:qFormat/>
    <w:rsid w:val="00BC140E"/>
    <w:pPr>
      <w:keepNext/>
      <w:keepLines/>
      <w:widowControl w:val="0"/>
      <w:spacing w:before="340" w:after="330" w:line="578" w:lineRule="auto"/>
      <w:jc w:val="both"/>
      <w:outlineLvl w:val="0"/>
    </w:pPr>
    <w:rPr>
      <w:rFonts w:ascii="Calibri" w:eastAsia="宋体" w:hAnsi="Calibri" w:cs="黑体"/>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42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6C537E"/>
    <w:pPr>
      <w:tabs>
        <w:tab w:val="center" w:pos="4513"/>
        <w:tab w:val="right" w:pos="9026"/>
      </w:tabs>
    </w:pPr>
  </w:style>
  <w:style w:type="character" w:customStyle="1" w:styleId="a5">
    <w:name w:val="页眉 字符"/>
    <w:basedOn w:val="a0"/>
    <w:link w:val="a4"/>
    <w:uiPriority w:val="99"/>
    <w:rsid w:val="006C537E"/>
  </w:style>
  <w:style w:type="paragraph" w:styleId="a6">
    <w:name w:val="footer"/>
    <w:basedOn w:val="a"/>
    <w:link w:val="a7"/>
    <w:uiPriority w:val="99"/>
    <w:unhideWhenUsed/>
    <w:rsid w:val="006C537E"/>
    <w:pPr>
      <w:tabs>
        <w:tab w:val="center" w:pos="4513"/>
        <w:tab w:val="right" w:pos="9026"/>
      </w:tabs>
    </w:pPr>
  </w:style>
  <w:style w:type="character" w:customStyle="1" w:styleId="a7">
    <w:name w:val="页脚 字符"/>
    <w:basedOn w:val="a0"/>
    <w:link w:val="a6"/>
    <w:uiPriority w:val="99"/>
    <w:rsid w:val="006C537E"/>
  </w:style>
  <w:style w:type="paragraph" w:styleId="a8">
    <w:name w:val="List Paragraph"/>
    <w:basedOn w:val="a"/>
    <w:uiPriority w:val="34"/>
    <w:qFormat/>
    <w:rsid w:val="00451408"/>
    <w:pPr>
      <w:ind w:left="720"/>
      <w:contextualSpacing/>
    </w:pPr>
  </w:style>
  <w:style w:type="paragraph" w:styleId="a9">
    <w:name w:val="Balloon Text"/>
    <w:basedOn w:val="a"/>
    <w:link w:val="aa"/>
    <w:uiPriority w:val="99"/>
    <w:semiHidden/>
    <w:unhideWhenUsed/>
    <w:rsid w:val="009217BC"/>
    <w:rPr>
      <w:rFonts w:ascii="Tahoma" w:hAnsi="Tahoma" w:cs="Tahoma"/>
      <w:sz w:val="16"/>
      <w:szCs w:val="16"/>
    </w:rPr>
  </w:style>
  <w:style w:type="character" w:customStyle="1" w:styleId="aa">
    <w:name w:val="批注框文本 字符"/>
    <w:basedOn w:val="a0"/>
    <w:link w:val="a9"/>
    <w:uiPriority w:val="99"/>
    <w:semiHidden/>
    <w:rsid w:val="009217BC"/>
    <w:rPr>
      <w:rFonts w:ascii="Tahoma" w:hAnsi="Tahoma" w:cs="Tahoma"/>
      <w:sz w:val="16"/>
      <w:szCs w:val="16"/>
    </w:rPr>
  </w:style>
  <w:style w:type="paragraph" w:styleId="ab">
    <w:name w:val="Quote"/>
    <w:basedOn w:val="a"/>
    <w:next w:val="a"/>
    <w:link w:val="ac"/>
    <w:uiPriority w:val="29"/>
    <w:qFormat/>
    <w:rsid w:val="00F81A0E"/>
    <w:rPr>
      <w:i/>
      <w:iCs/>
      <w:color w:val="000000" w:themeColor="text1"/>
    </w:rPr>
  </w:style>
  <w:style w:type="character" w:customStyle="1" w:styleId="ac">
    <w:name w:val="引用 字符"/>
    <w:basedOn w:val="a0"/>
    <w:link w:val="ab"/>
    <w:uiPriority w:val="29"/>
    <w:rsid w:val="00F81A0E"/>
    <w:rPr>
      <w:i/>
      <w:iCs/>
      <w:color w:val="000000" w:themeColor="text1"/>
    </w:rPr>
  </w:style>
  <w:style w:type="table" w:styleId="-3">
    <w:name w:val="Light Shading Accent 3"/>
    <w:basedOn w:val="a1"/>
    <w:uiPriority w:val="60"/>
    <w:rsid w:val="00D3685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MTDisplayEquation">
    <w:name w:val="MTDisplayEquation"/>
    <w:basedOn w:val="a"/>
    <w:next w:val="a"/>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ad">
    <w:name w:val="脚注文本 字符"/>
    <w:basedOn w:val="a0"/>
    <w:link w:val="ae"/>
    <w:uiPriority w:val="99"/>
    <w:semiHidden/>
    <w:rPr>
      <w:sz w:val="18"/>
      <w:szCs w:val="18"/>
    </w:rPr>
  </w:style>
  <w:style w:type="paragraph" w:styleId="ae">
    <w:name w:val="footnote text"/>
    <w:basedOn w:val="a"/>
    <w:link w:val="ad"/>
    <w:uiPriority w:val="99"/>
    <w:semiHidden/>
    <w:unhideWhenUsed/>
    <w:pPr>
      <w:snapToGrid w:val="0"/>
    </w:pPr>
    <w:rPr>
      <w:sz w:val="18"/>
      <w:szCs w:val="18"/>
    </w:rPr>
  </w:style>
  <w:style w:type="character" w:styleId="af">
    <w:name w:val="footnote reference"/>
    <w:basedOn w:val="a0"/>
    <w:uiPriority w:val="99"/>
    <w:semiHidden/>
    <w:unhideWhenUsed/>
    <w:rPr>
      <w:vertAlign w:val="superscript"/>
    </w:rPr>
  </w:style>
  <w:style w:type="paragraph" w:customStyle="1" w:styleId="Normalwrd1">
    <w:name w:val="Normal_wrd1"/>
    <w:basedOn w:val="af0"/>
    <w:rPr>
      <w:rFonts w:ascii="Times New Roman" w:eastAsia="宋体" w:hAnsi="Times New Roman"/>
    </w:rPr>
  </w:style>
  <w:style w:type="paragraph" w:customStyle="1" w:styleId="Normal4">
    <w:name w:val="Normal 拷贝4"/>
    <w:basedOn w:val="af0"/>
    <w:rPr>
      <w:rFonts w:ascii="Calibri" w:eastAsia="宋体" w:hAnsi="Calibri"/>
    </w:rPr>
  </w:style>
  <w:style w:type="paragraph" w:customStyle="1" w:styleId="Normalwrd2">
    <w:name w:val="Normal_wrd2 拷贝"/>
    <w:basedOn w:val="af0"/>
    <w:rPr>
      <w:rFonts w:ascii="Times New Roman" w:eastAsia="宋体" w:hAnsi="Times New Roman"/>
      <w:sz w:val="24"/>
      <w:szCs w:val="24"/>
    </w:rPr>
  </w:style>
  <w:style w:type="paragraph" w:customStyle="1" w:styleId="heading1wrd1">
    <w:name w:val="heading 1_wrd1"/>
    <w:basedOn w:val="Normalwrd1"/>
    <w:pPr>
      <w:spacing w:before="210" w:after="210"/>
      <w:outlineLvl w:val="1"/>
    </w:pPr>
    <w:rPr>
      <w:rFonts w:eastAsia="黑体"/>
      <w:sz w:val="28"/>
      <w:szCs w:val="28"/>
    </w:rPr>
  </w:style>
  <w:style w:type="paragraph" w:customStyle="1" w:styleId="af1">
    <w:name w:val="[基本段落]"/>
    <w:basedOn w:val="af0"/>
  </w:style>
  <w:style w:type="paragraph" w:customStyle="1" w:styleId="af0">
    <w:name w:val="[系统文字]"/>
    <w:rPr>
      <w:rFonts w:ascii="NEU-BZ" w:eastAsia="方正书宋_GBK"/>
      <w:color w:val="000000"/>
      <w:sz w:val="21"/>
      <w:szCs w:val="21"/>
    </w:rPr>
  </w:style>
  <w:style w:type="paragraph" w:customStyle="1" w:styleId="Normal3">
    <w:name w:val="Normal 拷贝3 拷贝"/>
    <w:basedOn w:val="af0"/>
    <w:rPr>
      <w:rFonts w:ascii="Times New Roman" w:eastAsia="宋体" w:hAnsi="Times New Roman"/>
    </w:rPr>
  </w:style>
  <w:style w:type="character" w:customStyle="1" w:styleId="af2">
    <w:name w:val="方正书宋"/>
    <w:rPr>
      <w:rFonts w:ascii="Times New Roman" w:eastAsia="方正书宋_GBK" w:hAnsi="Times New Roman" w:hint="default"/>
      <w:sz w:val="21"/>
      <w:szCs w:val="21"/>
    </w:rPr>
  </w:style>
  <w:style w:type="character" w:customStyle="1" w:styleId="10">
    <w:name w:val="标题 1 字符"/>
    <w:basedOn w:val="a0"/>
    <w:link w:val="1"/>
    <w:uiPriority w:val="9"/>
    <w:qFormat/>
    <w:rsid w:val="00BC140E"/>
    <w:rPr>
      <w:rFonts w:ascii="Calibri" w:eastAsia="宋体" w:hAnsi="Calibri" w:cs="黑体"/>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ti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t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ti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1692</Words>
  <Characters>9649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NOte</dc:title>
  <dc:creator>Administrator</dc:creator>
  <cp:lastModifiedBy>Windows 用户</cp:lastModifiedBy>
  <cp:revision>9</cp:revision>
  <cp:lastPrinted>2024-03-27T01:06:00Z</cp:lastPrinted>
  <dcterms:created xsi:type="dcterms:W3CDTF">2024-03-27T23:48:00Z</dcterms:created>
  <dcterms:modified xsi:type="dcterms:W3CDTF">2024-03-29T08:13:00Z</dcterms:modified>
</cp:coreProperties>
</file>